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7B" w:rsidRPr="00CB404D" w:rsidRDefault="000E427B" w:rsidP="00CB404D">
      <w:pPr>
        <w:pStyle w:val="parasmalltext"/>
        <w:spacing w:beforeLines="0" w:afterLines="0"/>
        <w:rPr>
          <w:rFonts w:asciiTheme="minorHAnsi" w:hAnsiTheme="minorHAnsi"/>
          <w:b/>
          <w:sz w:val="24"/>
          <w:szCs w:val="24"/>
          <w:lang w:val="en-GB"/>
        </w:rPr>
      </w:pPr>
      <w:r w:rsidRPr="00CB404D">
        <w:rPr>
          <w:rFonts w:asciiTheme="minorHAnsi" w:hAnsiTheme="minorHAnsi"/>
          <w:b/>
          <w:sz w:val="24"/>
          <w:szCs w:val="24"/>
          <w:lang w:val="en-GB"/>
        </w:rPr>
        <w:t>Session 42: Preparing for Rio 2012: Trade opportunities and challenges in a green economy</w:t>
      </w:r>
    </w:p>
    <w:p w:rsidR="000E427B" w:rsidRPr="00CB404D" w:rsidRDefault="000E427B" w:rsidP="00CB404D">
      <w:pPr>
        <w:pStyle w:val="Headingb"/>
        <w:spacing w:before="0"/>
        <w:rPr>
          <w:rFonts w:asciiTheme="minorHAnsi" w:hAnsiTheme="minorHAnsi"/>
          <w:sz w:val="22"/>
        </w:rPr>
      </w:pPr>
    </w:p>
    <w:p w:rsidR="00CB404D" w:rsidRDefault="00CB404D" w:rsidP="00CB404D">
      <w:pPr>
        <w:pStyle w:val="Headingb"/>
        <w:rPr>
          <w:rFonts w:asciiTheme="minorHAnsi" w:hAnsiTheme="minorHAnsi"/>
          <w:sz w:val="22"/>
        </w:rPr>
      </w:pPr>
      <w:r>
        <w:rPr>
          <w:rFonts w:asciiTheme="minorHAnsi" w:hAnsiTheme="minorHAnsi"/>
          <w:sz w:val="22"/>
        </w:rPr>
        <w:t xml:space="preserve">Sub-theme </w:t>
      </w:r>
      <w:r w:rsidRPr="00CB404D">
        <w:rPr>
          <w:rFonts w:asciiTheme="minorHAnsi" w:hAnsiTheme="minorHAnsi"/>
          <w:sz w:val="22"/>
        </w:rPr>
        <w:t>II:</w:t>
      </w:r>
      <w:r>
        <w:rPr>
          <w:rFonts w:asciiTheme="minorHAnsi" w:hAnsiTheme="minorHAnsi"/>
          <w:sz w:val="22"/>
        </w:rPr>
        <w:t xml:space="preserve"> </w:t>
      </w:r>
      <w:r w:rsidRPr="00CB404D">
        <w:rPr>
          <w:rFonts w:asciiTheme="minorHAnsi" w:hAnsiTheme="minorHAnsi"/>
          <w:sz w:val="22"/>
        </w:rPr>
        <w:t>Trade in Natural Resources</w:t>
      </w:r>
    </w:p>
    <w:p w:rsidR="00CB404D" w:rsidRDefault="00CB404D" w:rsidP="00CB404D">
      <w:pPr>
        <w:pStyle w:val="Headingb"/>
        <w:spacing w:before="0"/>
        <w:rPr>
          <w:rFonts w:asciiTheme="minorHAnsi" w:hAnsiTheme="minorHAnsi"/>
          <w:sz w:val="22"/>
        </w:rPr>
      </w:pPr>
    </w:p>
    <w:p w:rsidR="00CB404D" w:rsidRDefault="00CB404D" w:rsidP="00CB404D">
      <w:pPr>
        <w:pStyle w:val="Headingb"/>
        <w:spacing w:before="0"/>
        <w:rPr>
          <w:rFonts w:asciiTheme="minorHAnsi" w:hAnsiTheme="minorHAnsi"/>
          <w:sz w:val="22"/>
        </w:rPr>
      </w:pPr>
    </w:p>
    <w:p w:rsidR="000E427B" w:rsidRPr="00CB404D" w:rsidRDefault="000E427B" w:rsidP="00CB404D">
      <w:pPr>
        <w:pStyle w:val="Headingb"/>
        <w:spacing w:before="0"/>
        <w:rPr>
          <w:rFonts w:asciiTheme="minorHAnsi" w:hAnsiTheme="minorHAnsi"/>
          <w:sz w:val="22"/>
        </w:rPr>
      </w:pPr>
      <w:r w:rsidRPr="00CB404D">
        <w:rPr>
          <w:rFonts w:asciiTheme="minorHAnsi" w:hAnsiTheme="minorHAnsi"/>
          <w:sz w:val="22"/>
        </w:rPr>
        <w:t>Moderator</w:t>
      </w:r>
    </w:p>
    <w:p w:rsidR="000E427B" w:rsidRPr="00CB404D" w:rsidRDefault="000E427B" w:rsidP="00CB404D">
      <w:pPr>
        <w:pStyle w:val="Headingb"/>
        <w:spacing w:before="0"/>
        <w:rPr>
          <w:rFonts w:asciiTheme="minorHAnsi" w:eastAsiaTheme="minorHAnsi" w:hAnsiTheme="minorHAnsi" w:cstheme="minorBidi"/>
          <w:b w:val="0"/>
          <w:sz w:val="22"/>
          <w:szCs w:val="24"/>
        </w:rPr>
      </w:pPr>
      <w:r w:rsidRPr="00CB404D">
        <w:rPr>
          <w:rFonts w:asciiTheme="minorHAnsi" w:eastAsiaTheme="minorHAnsi" w:hAnsiTheme="minorHAnsi" w:cstheme="minorBidi"/>
          <w:b w:val="0"/>
          <w:sz w:val="22"/>
          <w:szCs w:val="24"/>
        </w:rPr>
        <w:t xml:space="preserve">Ms Deborah </w:t>
      </w:r>
      <w:proofErr w:type="spellStart"/>
      <w:r w:rsidRPr="00CB404D">
        <w:rPr>
          <w:rFonts w:asciiTheme="minorHAnsi" w:eastAsiaTheme="minorHAnsi" w:hAnsiTheme="minorHAnsi" w:cstheme="minorBidi"/>
          <w:b w:val="0"/>
          <w:sz w:val="22"/>
          <w:szCs w:val="24"/>
        </w:rPr>
        <w:t>Vorhies</w:t>
      </w:r>
      <w:proofErr w:type="spellEnd"/>
      <w:r w:rsidRPr="00CB404D">
        <w:rPr>
          <w:rFonts w:asciiTheme="minorHAnsi" w:eastAsiaTheme="minorHAnsi" w:hAnsiTheme="minorHAnsi" w:cstheme="minorBidi"/>
          <w:b w:val="0"/>
          <w:sz w:val="22"/>
          <w:szCs w:val="24"/>
        </w:rPr>
        <w:t>, Managing Director-Director of Operation, International Centre for Trade and Sustainable Development (ICTSD)</w:t>
      </w:r>
    </w:p>
    <w:p w:rsidR="000E427B" w:rsidRPr="00CB404D" w:rsidRDefault="000E427B" w:rsidP="00CB404D">
      <w:pPr>
        <w:spacing w:after="0" w:line="240" w:lineRule="auto"/>
      </w:pPr>
    </w:p>
    <w:p w:rsidR="000E427B" w:rsidRPr="00CB404D" w:rsidRDefault="000E427B" w:rsidP="00CB404D">
      <w:pPr>
        <w:pStyle w:val="Headingb"/>
        <w:spacing w:before="0"/>
        <w:rPr>
          <w:rFonts w:asciiTheme="minorHAnsi" w:eastAsiaTheme="minorHAnsi" w:hAnsiTheme="minorHAnsi" w:cstheme="minorBidi"/>
          <w:sz w:val="22"/>
          <w:szCs w:val="24"/>
        </w:rPr>
      </w:pPr>
      <w:r w:rsidRPr="00CB404D">
        <w:rPr>
          <w:rFonts w:asciiTheme="minorHAnsi" w:eastAsiaTheme="minorHAnsi" w:hAnsiTheme="minorHAnsi" w:cstheme="minorBidi"/>
          <w:sz w:val="22"/>
          <w:szCs w:val="24"/>
        </w:rPr>
        <w:t>Speakers:</w:t>
      </w:r>
    </w:p>
    <w:p w:rsidR="000E427B" w:rsidRPr="00CB404D" w:rsidRDefault="000E427B" w:rsidP="00CB404D">
      <w:pPr>
        <w:spacing w:after="0" w:line="240" w:lineRule="auto"/>
      </w:pPr>
      <w:r w:rsidRPr="00CB404D">
        <w:t xml:space="preserve">Mr Mark Halle, </w:t>
      </w:r>
      <w:r w:rsidR="00B529E4">
        <w:t xml:space="preserve">Executive </w:t>
      </w:r>
      <w:r w:rsidRPr="00CB404D">
        <w:t>Director, International Institute for Sustainable Development (IISD)</w:t>
      </w:r>
    </w:p>
    <w:p w:rsidR="0095430E" w:rsidRPr="00CB404D" w:rsidRDefault="0095430E" w:rsidP="0095430E">
      <w:pPr>
        <w:spacing w:after="0" w:line="240" w:lineRule="auto"/>
      </w:pPr>
      <w:r w:rsidRPr="00CB404D">
        <w:t xml:space="preserve">Mr Guillermo </w:t>
      </w:r>
      <w:proofErr w:type="spellStart"/>
      <w:r w:rsidRPr="00CB404D">
        <w:t>Valles</w:t>
      </w:r>
      <w:proofErr w:type="spellEnd"/>
      <w:r w:rsidRPr="00CB404D">
        <w:t xml:space="preserve"> </w:t>
      </w:r>
      <w:proofErr w:type="spellStart"/>
      <w:r w:rsidRPr="00CB404D">
        <w:t>Galmés</w:t>
      </w:r>
      <w:proofErr w:type="spellEnd"/>
      <w:r w:rsidRPr="00CB404D">
        <w:t>, Director, Division on International Trade in Goods and Services and Commodities, UNCTAD</w:t>
      </w:r>
    </w:p>
    <w:p w:rsidR="000E427B" w:rsidRPr="00CB404D" w:rsidRDefault="000E427B" w:rsidP="00CB404D">
      <w:pPr>
        <w:spacing w:after="0" w:line="240" w:lineRule="auto"/>
      </w:pPr>
      <w:r w:rsidRPr="00CB404D">
        <w:t xml:space="preserve">H.E. Mr Manuel A.J. </w:t>
      </w:r>
      <w:proofErr w:type="spellStart"/>
      <w:r w:rsidRPr="00CB404D">
        <w:t>Teehankee</w:t>
      </w:r>
      <w:proofErr w:type="spellEnd"/>
      <w:r w:rsidRPr="00CB404D">
        <w:t>, Former Ambassador of the Philippines to the WTO</w:t>
      </w:r>
    </w:p>
    <w:p w:rsidR="000E427B" w:rsidRPr="00CB404D" w:rsidRDefault="000E427B" w:rsidP="00CB404D">
      <w:pPr>
        <w:spacing w:after="0" w:line="240" w:lineRule="auto"/>
      </w:pPr>
      <w:r w:rsidRPr="00CB404D">
        <w:t xml:space="preserve">Mr Ahmed Abdel </w:t>
      </w:r>
      <w:proofErr w:type="spellStart"/>
      <w:r w:rsidRPr="00CB404D">
        <w:t>Latif</w:t>
      </w:r>
      <w:proofErr w:type="spellEnd"/>
      <w:r w:rsidRPr="00CB404D">
        <w:t>, Intellectual Property and Technology Senior Programme Manager, ICTSD</w:t>
      </w:r>
    </w:p>
    <w:p w:rsidR="000E427B" w:rsidRPr="00CB404D" w:rsidRDefault="000E427B" w:rsidP="00CB404D">
      <w:pPr>
        <w:spacing w:after="0" w:line="240" w:lineRule="auto"/>
      </w:pPr>
    </w:p>
    <w:p w:rsidR="000E427B" w:rsidRPr="00CB404D" w:rsidRDefault="000E427B" w:rsidP="00CB404D">
      <w:pPr>
        <w:pStyle w:val="Headingb"/>
        <w:spacing w:before="0"/>
        <w:rPr>
          <w:rFonts w:asciiTheme="minorHAnsi" w:hAnsiTheme="minorHAnsi"/>
          <w:sz w:val="22"/>
        </w:rPr>
      </w:pPr>
      <w:r w:rsidRPr="00CB404D">
        <w:rPr>
          <w:rFonts w:asciiTheme="minorHAnsi" w:hAnsiTheme="minorHAnsi"/>
          <w:sz w:val="22"/>
        </w:rPr>
        <w:t>Organized by</w:t>
      </w:r>
    </w:p>
    <w:p w:rsidR="00CB404D" w:rsidRDefault="000E427B" w:rsidP="00CB404D">
      <w:pPr>
        <w:spacing w:after="0" w:line="240" w:lineRule="auto"/>
      </w:pPr>
      <w:r w:rsidRPr="00CB404D">
        <w:t>ICTSD</w:t>
      </w:r>
    </w:p>
    <w:p w:rsidR="000E427B" w:rsidRPr="00CB404D" w:rsidRDefault="000E427B" w:rsidP="00CB404D">
      <w:pPr>
        <w:spacing w:after="0" w:line="240" w:lineRule="auto"/>
      </w:pPr>
    </w:p>
    <w:p w:rsidR="000E427B" w:rsidRPr="00CB404D" w:rsidRDefault="000E427B" w:rsidP="00CB404D">
      <w:pPr>
        <w:pStyle w:val="Headingb"/>
        <w:spacing w:before="0"/>
        <w:rPr>
          <w:rFonts w:asciiTheme="minorHAnsi" w:hAnsiTheme="minorHAnsi"/>
          <w:sz w:val="22"/>
        </w:rPr>
      </w:pPr>
      <w:r w:rsidRPr="00CB404D">
        <w:rPr>
          <w:rFonts w:asciiTheme="minorHAnsi" w:hAnsiTheme="minorHAnsi"/>
          <w:sz w:val="22"/>
        </w:rPr>
        <w:t>Report written by</w:t>
      </w:r>
    </w:p>
    <w:p w:rsidR="00CB404D" w:rsidRDefault="00CB404D" w:rsidP="00CB404D">
      <w:pPr>
        <w:spacing w:after="0" w:line="240" w:lineRule="auto"/>
        <w:rPr>
          <w:rFonts w:cs="Times New Roman"/>
        </w:rPr>
      </w:pPr>
      <w:r>
        <w:rPr>
          <w:rFonts w:cs="Times New Roman"/>
        </w:rPr>
        <w:t xml:space="preserve">Ms </w:t>
      </w:r>
      <w:proofErr w:type="spellStart"/>
      <w:r w:rsidRPr="00CB404D">
        <w:rPr>
          <w:rFonts w:cs="Times New Roman"/>
        </w:rPr>
        <w:t>Malena</w:t>
      </w:r>
      <w:proofErr w:type="spellEnd"/>
      <w:r w:rsidRPr="00CB404D">
        <w:rPr>
          <w:rFonts w:cs="Times New Roman"/>
        </w:rPr>
        <w:t xml:space="preserve"> Sell, Senior Programme Officer, Environment and Natural Resources at ICTSD</w:t>
      </w:r>
    </w:p>
    <w:p w:rsidR="00CB404D" w:rsidRDefault="00CB404D" w:rsidP="00CB404D">
      <w:pPr>
        <w:spacing w:after="0" w:line="240" w:lineRule="auto"/>
        <w:rPr>
          <w:rFonts w:cs="Times New Roman"/>
        </w:rPr>
      </w:pPr>
    </w:p>
    <w:p w:rsidR="00CB404D" w:rsidRDefault="00CB404D" w:rsidP="00CB404D">
      <w:pPr>
        <w:spacing w:after="0" w:line="240" w:lineRule="auto"/>
        <w:rPr>
          <w:rFonts w:cs="Times New Roman"/>
        </w:rPr>
      </w:pPr>
      <w:r>
        <w:rPr>
          <w:rFonts w:cs="Times New Roman"/>
        </w:rPr>
        <w:t>Wednesday, 21 September – 16.15-18.15</w:t>
      </w:r>
    </w:p>
    <w:p w:rsidR="000E427B" w:rsidRPr="00CB404D" w:rsidRDefault="000E427B" w:rsidP="00CB404D">
      <w:pPr>
        <w:spacing w:after="0" w:line="240" w:lineRule="auto"/>
        <w:rPr>
          <w:rFonts w:eastAsia="Calibri" w:cs="Times"/>
          <w:b/>
        </w:rPr>
      </w:pPr>
    </w:p>
    <w:p w:rsidR="000E427B" w:rsidRPr="00CB404D" w:rsidRDefault="000E427B" w:rsidP="00CB404D">
      <w:pPr>
        <w:spacing w:after="0" w:line="240" w:lineRule="auto"/>
        <w:rPr>
          <w:rFonts w:eastAsia="Times New Roman"/>
          <w:b/>
          <w:szCs w:val="20"/>
        </w:rPr>
      </w:pPr>
    </w:p>
    <w:p w:rsidR="000E427B" w:rsidRPr="00CB404D" w:rsidRDefault="000E427B" w:rsidP="00CB404D">
      <w:pPr>
        <w:spacing w:after="0" w:line="240" w:lineRule="auto"/>
        <w:rPr>
          <w:rFonts w:eastAsia="Times New Roman"/>
          <w:b/>
          <w:szCs w:val="20"/>
        </w:rPr>
      </w:pPr>
    </w:p>
    <w:p w:rsidR="000E427B" w:rsidRPr="00CB404D" w:rsidRDefault="000E427B" w:rsidP="00CB404D">
      <w:pPr>
        <w:spacing w:after="0" w:line="240" w:lineRule="auto"/>
        <w:rPr>
          <w:b/>
        </w:rPr>
      </w:pPr>
      <w:r w:rsidRPr="00CB404D">
        <w:rPr>
          <w:b/>
        </w:rPr>
        <w:br w:type="column"/>
        <w:t>Abstract</w:t>
      </w:r>
    </w:p>
    <w:p w:rsidR="00CB404D" w:rsidRPr="00CB404D" w:rsidRDefault="00CB404D" w:rsidP="00CB404D">
      <w:pPr>
        <w:spacing w:after="0" w:line="240" w:lineRule="auto"/>
        <w:rPr>
          <w:rFonts w:cs="Times New Roman"/>
        </w:rPr>
      </w:pPr>
    </w:p>
    <w:p w:rsidR="00CB404D" w:rsidRPr="00CB404D" w:rsidRDefault="00E14F3A" w:rsidP="00CB404D">
      <w:pPr>
        <w:spacing w:after="0" w:line="240" w:lineRule="auto"/>
        <w:rPr>
          <w:rFonts w:cs="Times New Roman"/>
        </w:rPr>
      </w:pPr>
      <w:r w:rsidRPr="00CB404D">
        <w:rPr>
          <w:rFonts w:cs="Times New Roman"/>
        </w:rPr>
        <w:t xml:space="preserve">With the Rio 2012 meeting coming up less than a year after the WTO Public Forum, ICTSD </w:t>
      </w:r>
      <w:r w:rsidR="001756E1">
        <w:rPr>
          <w:rFonts w:cs="Times New Roman"/>
        </w:rPr>
        <w:t>organiz</w:t>
      </w:r>
      <w:r w:rsidR="00BE5B94" w:rsidRPr="00CB404D">
        <w:rPr>
          <w:rFonts w:cs="Times New Roman"/>
        </w:rPr>
        <w:t>ed</w:t>
      </w:r>
      <w:r w:rsidRPr="00CB404D">
        <w:rPr>
          <w:rFonts w:cs="Times New Roman"/>
        </w:rPr>
        <w:t xml:space="preserve"> </w:t>
      </w:r>
      <w:r w:rsidR="00704600">
        <w:rPr>
          <w:rFonts w:cs="Times New Roman"/>
        </w:rPr>
        <w:t>this</w:t>
      </w:r>
      <w:r w:rsidRPr="00CB404D">
        <w:rPr>
          <w:rFonts w:cs="Times New Roman"/>
        </w:rPr>
        <w:t xml:space="preserve"> </w:t>
      </w:r>
      <w:r w:rsidR="00AA7163">
        <w:rPr>
          <w:rFonts w:cs="Times New Roman"/>
        </w:rPr>
        <w:t>session</w:t>
      </w:r>
      <w:r w:rsidRPr="00CB404D">
        <w:rPr>
          <w:rFonts w:cs="Times New Roman"/>
        </w:rPr>
        <w:t xml:space="preserve"> with the aim </w:t>
      </w:r>
      <w:r w:rsidR="00704600">
        <w:rPr>
          <w:rFonts w:cs="Times New Roman"/>
        </w:rPr>
        <w:t>of generating</w:t>
      </w:r>
      <w:r w:rsidRPr="00CB404D">
        <w:rPr>
          <w:rFonts w:cs="Times New Roman"/>
        </w:rPr>
        <w:t xml:space="preserve"> a broader and deeper understanding of </w:t>
      </w:r>
      <w:r w:rsidR="002722EA">
        <w:rPr>
          <w:rFonts w:cs="Times New Roman"/>
        </w:rPr>
        <w:t>g</w:t>
      </w:r>
      <w:r w:rsidRPr="00CB404D">
        <w:rPr>
          <w:rFonts w:cs="Times New Roman"/>
        </w:rPr>
        <w:t xml:space="preserve">reen </w:t>
      </w:r>
      <w:r w:rsidR="002722EA">
        <w:rPr>
          <w:rFonts w:cs="Times New Roman"/>
        </w:rPr>
        <w:t>e</w:t>
      </w:r>
      <w:r w:rsidRPr="00CB404D">
        <w:rPr>
          <w:rFonts w:cs="Times New Roman"/>
        </w:rPr>
        <w:t xml:space="preserve">conomy issues as they relate to trade. Up until </w:t>
      </w:r>
      <w:r w:rsidR="002722EA">
        <w:rPr>
          <w:rFonts w:cs="Times New Roman"/>
        </w:rPr>
        <w:t>now</w:t>
      </w:r>
      <w:r w:rsidRPr="00CB404D">
        <w:rPr>
          <w:rFonts w:cs="Times New Roman"/>
        </w:rPr>
        <w:t xml:space="preserve">, the preparatory process for Rio 2012 has hit obstacles due to anxiety or unease among some parties with regard to the </w:t>
      </w:r>
      <w:r w:rsidR="002E2C73">
        <w:rPr>
          <w:rFonts w:cs="Times New Roman"/>
        </w:rPr>
        <w:t>g</w:t>
      </w:r>
      <w:r w:rsidRPr="00CB404D">
        <w:rPr>
          <w:rFonts w:cs="Times New Roman"/>
        </w:rPr>
        <w:t xml:space="preserve">reen </w:t>
      </w:r>
      <w:r w:rsidR="002E2C73">
        <w:rPr>
          <w:rFonts w:cs="Times New Roman"/>
        </w:rPr>
        <w:t>e</w:t>
      </w:r>
      <w:r w:rsidRPr="00CB404D">
        <w:rPr>
          <w:rFonts w:cs="Times New Roman"/>
        </w:rPr>
        <w:t xml:space="preserve">conomy concept, specifically due to trade-related concerns and fears of green protectionism. </w:t>
      </w:r>
    </w:p>
    <w:p w:rsidR="00E14F3A" w:rsidRPr="00CB404D" w:rsidRDefault="00E14F3A" w:rsidP="00CB404D">
      <w:pPr>
        <w:spacing w:after="0" w:line="240" w:lineRule="auto"/>
        <w:rPr>
          <w:rFonts w:cs="Times New Roman"/>
        </w:rPr>
      </w:pPr>
    </w:p>
    <w:p w:rsidR="00CB404D" w:rsidRPr="00CB404D" w:rsidRDefault="00E14F3A" w:rsidP="00CB404D">
      <w:pPr>
        <w:spacing w:after="0" w:line="240" w:lineRule="auto"/>
        <w:rPr>
          <w:rFonts w:cs="Times New Roman"/>
        </w:rPr>
      </w:pPr>
      <w:r w:rsidRPr="00CB404D">
        <w:rPr>
          <w:rFonts w:cs="Times New Roman"/>
        </w:rPr>
        <w:t xml:space="preserve">These issues </w:t>
      </w:r>
      <w:r w:rsidR="00BE5B94" w:rsidRPr="00CB404D">
        <w:rPr>
          <w:rFonts w:cs="Times New Roman"/>
        </w:rPr>
        <w:t xml:space="preserve">merit more nuanced exploration and </w:t>
      </w:r>
      <w:r w:rsidRPr="00CB404D">
        <w:rPr>
          <w:rFonts w:cs="Times New Roman"/>
        </w:rPr>
        <w:t xml:space="preserve">input from the trade community, as the debate so far has been limited mainly to the environment community. </w:t>
      </w:r>
    </w:p>
    <w:p w:rsidR="00E14F3A" w:rsidRPr="00CB404D" w:rsidRDefault="00E14F3A" w:rsidP="00CB404D">
      <w:pPr>
        <w:spacing w:after="0" w:line="240" w:lineRule="auto"/>
        <w:rPr>
          <w:rFonts w:cs="Times New Roman"/>
        </w:rPr>
      </w:pPr>
    </w:p>
    <w:p w:rsidR="00CB404D" w:rsidRPr="00CB404D" w:rsidRDefault="00E14F3A" w:rsidP="00CB404D">
      <w:pPr>
        <w:spacing w:after="0" w:line="240" w:lineRule="auto"/>
        <w:rPr>
          <w:rFonts w:cs="Times New Roman"/>
        </w:rPr>
      </w:pPr>
      <w:r w:rsidRPr="00CB404D">
        <w:rPr>
          <w:rFonts w:cs="Times New Roman"/>
        </w:rPr>
        <w:t xml:space="preserve">Forging coherence between wider issues of trade, sustainable development, and the nexus between trade and sustainable development governance will be of key importance to the future of the trade system – and a challenge to it. </w:t>
      </w:r>
      <w:r w:rsidR="002524DD">
        <w:rPr>
          <w:rFonts w:cs="Times New Roman"/>
        </w:rPr>
        <w:t>T</w:t>
      </w:r>
      <w:r w:rsidR="002524DD" w:rsidRPr="00CB404D">
        <w:rPr>
          <w:rFonts w:cs="Times New Roman"/>
        </w:rPr>
        <w:t xml:space="preserve">he session sought to contribute to </w:t>
      </w:r>
      <w:r w:rsidR="002524DD">
        <w:rPr>
          <w:rFonts w:cs="Times New Roman"/>
        </w:rPr>
        <w:t xml:space="preserve">a </w:t>
      </w:r>
      <w:r w:rsidRPr="00CB404D">
        <w:rPr>
          <w:rFonts w:cs="Times New Roman"/>
        </w:rPr>
        <w:t>better understand</w:t>
      </w:r>
      <w:r w:rsidR="002524DD">
        <w:rPr>
          <w:rFonts w:cs="Times New Roman"/>
        </w:rPr>
        <w:t>ing</w:t>
      </w:r>
      <w:r w:rsidRPr="00CB404D">
        <w:rPr>
          <w:rFonts w:cs="Times New Roman"/>
        </w:rPr>
        <w:t xml:space="preserve"> </w:t>
      </w:r>
      <w:r w:rsidR="002524DD">
        <w:rPr>
          <w:rFonts w:cs="Times New Roman"/>
        </w:rPr>
        <w:t xml:space="preserve">of </w:t>
      </w:r>
      <w:r w:rsidRPr="00CB404D">
        <w:rPr>
          <w:rFonts w:cs="Times New Roman"/>
        </w:rPr>
        <w:t xml:space="preserve">the linkages between </w:t>
      </w:r>
      <w:r w:rsidR="002524DD">
        <w:rPr>
          <w:rFonts w:cs="Times New Roman"/>
        </w:rPr>
        <w:t xml:space="preserve">trade and the </w:t>
      </w:r>
      <w:r w:rsidRPr="00CB404D">
        <w:rPr>
          <w:rFonts w:cs="Times New Roman"/>
        </w:rPr>
        <w:t xml:space="preserve">sustainability </w:t>
      </w:r>
      <w:proofErr w:type="gramStart"/>
      <w:r w:rsidRPr="00CB404D">
        <w:rPr>
          <w:rFonts w:cs="Times New Roman"/>
        </w:rPr>
        <w:t xml:space="preserve">issues </w:t>
      </w:r>
      <w:r w:rsidR="002524DD">
        <w:rPr>
          <w:rFonts w:cs="Times New Roman"/>
        </w:rPr>
        <w:t>which</w:t>
      </w:r>
      <w:proofErr w:type="gramEnd"/>
      <w:r w:rsidR="002524DD">
        <w:rPr>
          <w:rFonts w:cs="Times New Roman"/>
        </w:rPr>
        <w:t xml:space="preserve"> will be </w:t>
      </w:r>
      <w:r w:rsidRPr="00CB404D">
        <w:rPr>
          <w:rFonts w:cs="Times New Roman"/>
        </w:rPr>
        <w:t xml:space="preserve">addressed at the Rio 2012 conference. </w:t>
      </w:r>
    </w:p>
    <w:p w:rsidR="00E14F3A" w:rsidRPr="00CB404D" w:rsidRDefault="00E14F3A" w:rsidP="00CB404D">
      <w:pPr>
        <w:spacing w:after="0" w:line="240" w:lineRule="auto"/>
        <w:rPr>
          <w:rFonts w:cs="Times New Roman"/>
        </w:rPr>
      </w:pPr>
    </w:p>
    <w:p w:rsidR="00CB404D" w:rsidRPr="00CB404D" w:rsidRDefault="00B529E4" w:rsidP="00CB404D">
      <w:pPr>
        <w:spacing w:after="0" w:line="240" w:lineRule="auto"/>
        <w:rPr>
          <w:rFonts w:cs="Times New Roman"/>
          <w:b/>
        </w:rPr>
      </w:pPr>
      <w:r>
        <w:rPr>
          <w:rFonts w:cs="Times New Roman"/>
          <w:b/>
        </w:rPr>
        <w:t xml:space="preserve">1. </w:t>
      </w:r>
      <w:r w:rsidR="00BE5B94" w:rsidRPr="00CB404D">
        <w:rPr>
          <w:rFonts w:cs="Times New Roman"/>
          <w:b/>
        </w:rPr>
        <w:t xml:space="preserve">Presentations </w:t>
      </w:r>
      <w:r>
        <w:rPr>
          <w:rFonts w:cs="Times New Roman"/>
          <w:b/>
        </w:rPr>
        <w:t>by the panellists</w:t>
      </w:r>
    </w:p>
    <w:p w:rsidR="00BE5B94" w:rsidRPr="00CB404D" w:rsidRDefault="00BE5B94" w:rsidP="00CB404D">
      <w:pPr>
        <w:spacing w:after="0" w:line="240" w:lineRule="auto"/>
        <w:rPr>
          <w:rFonts w:cs="Times New Roman"/>
          <w:b/>
        </w:rPr>
      </w:pPr>
    </w:p>
    <w:p w:rsidR="00CB404D" w:rsidRPr="00CB404D" w:rsidRDefault="00BE5B94" w:rsidP="00CB404D">
      <w:pPr>
        <w:spacing w:after="0" w:line="240" w:lineRule="auto"/>
        <w:rPr>
          <w:rFonts w:cs="Times New Roman"/>
        </w:rPr>
      </w:pPr>
      <w:proofErr w:type="gramStart"/>
      <w:r w:rsidRPr="00CB404D">
        <w:rPr>
          <w:rFonts w:cs="Times New Roman"/>
        </w:rPr>
        <w:t xml:space="preserve">The session was opened by </w:t>
      </w:r>
      <w:r w:rsidR="00B529E4">
        <w:rPr>
          <w:rFonts w:cs="Times New Roman"/>
        </w:rPr>
        <w:t>Ms</w:t>
      </w:r>
      <w:r w:rsidRPr="00CB404D">
        <w:rPr>
          <w:rFonts w:cs="Times New Roman"/>
        </w:rPr>
        <w:t xml:space="preserve"> </w:t>
      </w:r>
      <w:proofErr w:type="spellStart"/>
      <w:r w:rsidRPr="00CB404D">
        <w:rPr>
          <w:rFonts w:cs="Times New Roman"/>
        </w:rPr>
        <w:t>Vorhies</w:t>
      </w:r>
      <w:proofErr w:type="spellEnd"/>
      <w:proofErr w:type="gramEnd"/>
      <w:r w:rsidRPr="00CB404D">
        <w:rPr>
          <w:rFonts w:cs="Times New Roman"/>
        </w:rPr>
        <w:t>. She noted that</w:t>
      </w:r>
      <w:r w:rsidR="003056BC">
        <w:rPr>
          <w:rFonts w:cs="Times New Roman"/>
        </w:rPr>
        <w:t>,</w:t>
      </w:r>
      <w:r w:rsidRPr="00CB404D">
        <w:rPr>
          <w:rFonts w:cs="Times New Roman"/>
        </w:rPr>
        <w:t xml:space="preserve"> since Rio, the international policy community has achieved a more nuanced understanding of the integrated sustainable development issues the world is facing. While some issues have been resolved over the last 20 years, many have not. Today, looking towards Rio, attention has tended to be crowded out by other </w:t>
      </w:r>
      <w:r w:rsidR="003056BC">
        <w:rPr>
          <w:rFonts w:cs="Times New Roman"/>
        </w:rPr>
        <w:t>important</w:t>
      </w:r>
      <w:r w:rsidRPr="00CB404D">
        <w:rPr>
          <w:rFonts w:cs="Times New Roman"/>
        </w:rPr>
        <w:t xml:space="preserve"> topics, especially </w:t>
      </w:r>
      <w:r w:rsidR="00EA4ACF">
        <w:rPr>
          <w:rFonts w:cs="Times New Roman"/>
        </w:rPr>
        <w:t xml:space="preserve">those </w:t>
      </w:r>
      <w:r w:rsidR="002318E1" w:rsidRPr="00CB404D">
        <w:rPr>
          <w:rFonts w:cs="Times New Roman"/>
        </w:rPr>
        <w:t>related to</w:t>
      </w:r>
      <w:r w:rsidRPr="00CB404D">
        <w:rPr>
          <w:rFonts w:cs="Times New Roman"/>
        </w:rPr>
        <w:t xml:space="preserve"> the current macroeconomic climate. </w:t>
      </w:r>
      <w:r w:rsidR="00AA7163">
        <w:rPr>
          <w:rFonts w:cs="Times New Roman"/>
        </w:rPr>
        <w:t>F</w:t>
      </w:r>
      <w:r w:rsidRPr="00CB404D">
        <w:rPr>
          <w:rFonts w:cs="Times New Roman"/>
        </w:rPr>
        <w:t xml:space="preserve">resh thinking on the role and opportunities of trade is needed, </w:t>
      </w:r>
      <w:r w:rsidR="00FF45EE" w:rsidRPr="00CB404D">
        <w:rPr>
          <w:rFonts w:cs="Times New Roman"/>
        </w:rPr>
        <w:t>e</w:t>
      </w:r>
      <w:r w:rsidR="002318E1" w:rsidRPr="00CB404D">
        <w:rPr>
          <w:rFonts w:cs="Times New Roman"/>
        </w:rPr>
        <w:t>specially regarding</w:t>
      </w:r>
      <w:r w:rsidRPr="00CB404D">
        <w:rPr>
          <w:rFonts w:cs="Times New Roman"/>
        </w:rPr>
        <w:t xml:space="preserve"> how to integrate the concepts of a green economy and </w:t>
      </w:r>
      <w:r w:rsidR="009F4496">
        <w:rPr>
          <w:rFonts w:cs="Times New Roman"/>
        </w:rPr>
        <w:t xml:space="preserve">of </w:t>
      </w:r>
      <w:r w:rsidRPr="00CB404D">
        <w:rPr>
          <w:rFonts w:cs="Times New Roman"/>
        </w:rPr>
        <w:t xml:space="preserve">green growth. </w:t>
      </w:r>
    </w:p>
    <w:p w:rsidR="00E14F3A" w:rsidRPr="00CB404D" w:rsidRDefault="00E14F3A" w:rsidP="00CB404D">
      <w:pPr>
        <w:spacing w:after="0" w:line="240" w:lineRule="auto"/>
        <w:rPr>
          <w:rFonts w:cs="Times New Roman"/>
        </w:rPr>
      </w:pPr>
    </w:p>
    <w:p w:rsidR="00B529E4" w:rsidRPr="00B529E4" w:rsidRDefault="00B529E4" w:rsidP="00B529E4">
      <w:pPr>
        <w:spacing w:after="0" w:line="240" w:lineRule="auto"/>
        <w:rPr>
          <w:i/>
        </w:rPr>
      </w:pPr>
      <w:r>
        <w:rPr>
          <w:i/>
        </w:rPr>
        <w:t xml:space="preserve">(a) </w:t>
      </w:r>
      <w:r w:rsidRPr="00B529E4">
        <w:rPr>
          <w:i/>
        </w:rPr>
        <w:t>Mr Mark Halle, Executive Director, International Institute for Sustainable Development (IISD)</w:t>
      </w:r>
    </w:p>
    <w:p w:rsidR="00E14F3A" w:rsidRPr="00CB404D" w:rsidRDefault="00E14F3A" w:rsidP="00CB404D">
      <w:pPr>
        <w:spacing w:after="0" w:line="240" w:lineRule="auto"/>
        <w:rPr>
          <w:rFonts w:cs="Times New Roman"/>
        </w:rPr>
      </w:pPr>
    </w:p>
    <w:p w:rsidR="00CB404D" w:rsidRPr="00CB404D" w:rsidRDefault="002318E1" w:rsidP="00CB404D">
      <w:pPr>
        <w:spacing w:after="0" w:line="240" w:lineRule="auto"/>
        <w:rPr>
          <w:rFonts w:cs="Times New Roman"/>
        </w:rPr>
      </w:pPr>
      <w:r w:rsidRPr="00CB404D">
        <w:rPr>
          <w:rFonts w:cs="Times New Roman"/>
        </w:rPr>
        <w:t>Mr</w:t>
      </w:r>
      <w:r w:rsidR="005822AF" w:rsidRPr="00CB404D">
        <w:rPr>
          <w:rFonts w:cs="Times New Roman"/>
        </w:rPr>
        <w:t xml:space="preserve"> Halle focused his presentation on the green economy concept, stressing</w:t>
      </w:r>
      <w:r w:rsidR="001A4A2A" w:rsidRPr="00CB404D">
        <w:rPr>
          <w:rFonts w:cs="Times New Roman"/>
        </w:rPr>
        <w:t xml:space="preserve"> the need for</w:t>
      </w:r>
      <w:r w:rsidR="005822AF" w:rsidRPr="00CB404D">
        <w:rPr>
          <w:rFonts w:cs="Times New Roman"/>
        </w:rPr>
        <w:t xml:space="preserve"> the trade community to engage with the topic,</w:t>
      </w:r>
      <w:r w:rsidRPr="00CB404D">
        <w:rPr>
          <w:rFonts w:cs="Times New Roman"/>
        </w:rPr>
        <w:t xml:space="preserve"> </w:t>
      </w:r>
      <w:r w:rsidR="001A4A2A" w:rsidRPr="00CB404D">
        <w:rPr>
          <w:rFonts w:cs="Times New Roman"/>
        </w:rPr>
        <w:t>which may</w:t>
      </w:r>
      <w:r w:rsidRPr="00CB404D">
        <w:rPr>
          <w:rFonts w:cs="Times New Roman"/>
        </w:rPr>
        <w:t xml:space="preserve"> otherwise </w:t>
      </w:r>
      <w:r w:rsidR="005822AF" w:rsidRPr="00CB404D">
        <w:rPr>
          <w:rFonts w:cs="Times New Roman"/>
        </w:rPr>
        <w:t xml:space="preserve">create considerable friction. </w:t>
      </w:r>
      <w:r w:rsidR="001A4A2A" w:rsidRPr="00CB404D">
        <w:rPr>
          <w:rFonts w:cs="Times New Roman"/>
        </w:rPr>
        <w:t>When</w:t>
      </w:r>
      <w:r w:rsidR="005822AF" w:rsidRPr="00CB404D">
        <w:rPr>
          <w:rFonts w:cs="Times New Roman"/>
        </w:rPr>
        <w:t xml:space="preserve"> the concept was launched, </w:t>
      </w:r>
      <w:r w:rsidR="001A4A2A" w:rsidRPr="00CB404D">
        <w:rPr>
          <w:rFonts w:cs="Times New Roman"/>
        </w:rPr>
        <w:t xml:space="preserve">it appeared to </w:t>
      </w:r>
      <w:r w:rsidR="00724664">
        <w:rPr>
          <w:rFonts w:cs="Times New Roman"/>
        </w:rPr>
        <w:t>prioritize</w:t>
      </w:r>
      <w:r w:rsidR="001A4A2A" w:rsidRPr="00CB404D">
        <w:rPr>
          <w:rFonts w:cs="Times New Roman"/>
        </w:rPr>
        <w:t xml:space="preserve"> </w:t>
      </w:r>
      <w:r w:rsidR="00724664">
        <w:rPr>
          <w:rFonts w:cs="Times New Roman"/>
        </w:rPr>
        <w:t>“</w:t>
      </w:r>
      <w:r w:rsidR="001A4A2A" w:rsidRPr="00CB404D">
        <w:rPr>
          <w:rFonts w:cs="Times New Roman"/>
        </w:rPr>
        <w:t>green</w:t>
      </w:r>
      <w:r w:rsidR="00724664">
        <w:rPr>
          <w:rFonts w:cs="Times New Roman"/>
        </w:rPr>
        <w:t>ness”</w:t>
      </w:r>
      <w:r w:rsidR="001A4A2A" w:rsidRPr="00CB404D">
        <w:rPr>
          <w:rFonts w:cs="Times New Roman"/>
        </w:rPr>
        <w:t xml:space="preserve"> over other aspects, such as social </w:t>
      </w:r>
      <w:r w:rsidR="00724664">
        <w:rPr>
          <w:rFonts w:cs="Times New Roman"/>
        </w:rPr>
        <w:t>ones</w:t>
      </w:r>
      <w:r w:rsidR="001A4A2A" w:rsidRPr="00CB404D">
        <w:rPr>
          <w:rFonts w:cs="Times New Roman"/>
        </w:rPr>
        <w:t xml:space="preserve">, </w:t>
      </w:r>
      <w:r w:rsidR="005822AF" w:rsidRPr="00CB404D">
        <w:rPr>
          <w:rFonts w:cs="Times New Roman"/>
        </w:rPr>
        <w:t>which comp</w:t>
      </w:r>
      <w:r w:rsidR="001A4A2A" w:rsidRPr="00CB404D">
        <w:rPr>
          <w:rFonts w:cs="Times New Roman"/>
        </w:rPr>
        <w:t xml:space="preserve">licated the politics </w:t>
      </w:r>
      <w:r w:rsidR="00724664">
        <w:rPr>
          <w:rFonts w:cs="Times New Roman"/>
        </w:rPr>
        <w:t>surrounding</w:t>
      </w:r>
      <w:r w:rsidR="001A4A2A" w:rsidRPr="00CB404D">
        <w:rPr>
          <w:rFonts w:cs="Times New Roman"/>
        </w:rPr>
        <w:t xml:space="preserve"> it</w:t>
      </w:r>
      <w:r w:rsidR="005822AF" w:rsidRPr="00CB404D">
        <w:rPr>
          <w:rFonts w:cs="Times New Roman"/>
        </w:rPr>
        <w:t>. Defining the green economy remains challenging</w:t>
      </w:r>
      <w:r w:rsidR="00BD6EB7">
        <w:rPr>
          <w:rFonts w:cs="Times New Roman"/>
        </w:rPr>
        <w:t>;</w:t>
      </w:r>
      <w:r w:rsidR="005822AF" w:rsidRPr="00CB404D">
        <w:rPr>
          <w:rFonts w:cs="Times New Roman"/>
        </w:rPr>
        <w:t xml:space="preserve"> there is no single definition. Overall, it refers to an economy </w:t>
      </w:r>
      <w:proofErr w:type="gramStart"/>
      <w:r w:rsidR="005822AF" w:rsidRPr="00CB404D">
        <w:rPr>
          <w:rFonts w:cs="Times New Roman"/>
        </w:rPr>
        <w:t>that functions</w:t>
      </w:r>
      <w:proofErr w:type="gramEnd"/>
      <w:r w:rsidR="005822AF" w:rsidRPr="00CB404D">
        <w:rPr>
          <w:rFonts w:cs="Times New Roman"/>
        </w:rPr>
        <w:t xml:space="preserve"> differently and more broadly, </w:t>
      </w:r>
      <w:r w:rsidR="00BD6EB7">
        <w:rPr>
          <w:rFonts w:cs="Times New Roman"/>
        </w:rPr>
        <w:t>based on an idea</w:t>
      </w:r>
      <w:r w:rsidR="005822AF" w:rsidRPr="00CB404D">
        <w:rPr>
          <w:rFonts w:cs="Times New Roman"/>
        </w:rPr>
        <w:t xml:space="preserve"> similar to </w:t>
      </w:r>
      <w:r w:rsidR="00AA7163">
        <w:rPr>
          <w:rFonts w:cs="Times New Roman"/>
        </w:rPr>
        <w:t xml:space="preserve">that of </w:t>
      </w:r>
      <w:r w:rsidR="005822AF" w:rsidRPr="00CB404D">
        <w:rPr>
          <w:rFonts w:cs="Times New Roman"/>
        </w:rPr>
        <w:t xml:space="preserve">sustainable development. However, there is a key difference: </w:t>
      </w:r>
      <w:r w:rsidR="00BD6EB7">
        <w:rPr>
          <w:rFonts w:cs="Times New Roman"/>
        </w:rPr>
        <w:t>until recently,</w:t>
      </w:r>
      <w:r w:rsidR="00BE5B94" w:rsidRPr="00CB404D">
        <w:rPr>
          <w:rFonts w:cs="Times New Roman"/>
        </w:rPr>
        <w:t xml:space="preserve"> the economy </w:t>
      </w:r>
      <w:r w:rsidR="00BD6EB7">
        <w:rPr>
          <w:rFonts w:cs="Times New Roman"/>
        </w:rPr>
        <w:t>w</w:t>
      </w:r>
      <w:r w:rsidR="005822AF" w:rsidRPr="00CB404D">
        <w:rPr>
          <w:rFonts w:cs="Times New Roman"/>
        </w:rPr>
        <w:t>as seen as</w:t>
      </w:r>
      <w:r w:rsidR="00BE5B94" w:rsidRPr="00CB404D">
        <w:rPr>
          <w:rFonts w:cs="Times New Roman"/>
        </w:rPr>
        <w:t xml:space="preserve"> a fixed element</w:t>
      </w:r>
      <w:r w:rsidR="005822AF" w:rsidRPr="00CB404D">
        <w:rPr>
          <w:rFonts w:cs="Times New Roman"/>
        </w:rPr>
        <w:t xml:space="preserve"> into which </w:t>
      </w:r>
      <w:r w:rsidR="009352B1">
        <w:rPr>
          <w:rFonts w:cs="Times New Roman"/>
        </w:rPr>
        <w:t xml:space="preserve">the </w:t>
      </w:r>
      <w:r w:rsidR="005822AF" w:rsidRPr="00CB404D">
        <w:rPr>
          <w:rFonts w:cs="Times New Roman"/>
        </w:rPr>
        <w:t>environment had to be mainstreamed. Since the 2008 financial cris</w:t>
      </w:r>
      <w:r w:rsidR="009352B1">
        <w:rPr>
          <w:rFonts w:cs="Times New Roman"/>
        </w:rPr>
        <w:t>i</w:t>
      </w:r>
      <w:r w:rsidR="005822AF" w:rsidRPr="00CB404D">
        <w:rPr>
          <w:rFonts w:cs="Times New Roman"/>
        </w:rPr>
        <w:t>s, a fundamentally different understanding</w:t>
      </w:r>
      <w:r w:rsidR="001A4A2A" w:rsidRPr="00CB404D">
        <w:rPr>
          <w:rFonts w:cs="Times New Roman"/>
        </w:rPr>
        <w:t xml:space="preserve"> has emerged. It underscores that the</w:t>
      </w:r>
      <w:r w:rsidR="005822AF" w:rsidRPr="00CB404D">
        <w:rPr>
          <w:rFonts w:cs="Times New Roman"/>
        </w:rPr>
        <w:t xml:space="preserve"> nature of economic organi</w:t>
      </w:r>
      <w:r w:rsidR="00BD6EB7">
        <w:rPr>
          <w:rFonts w:cs="Times New Roman"/>
        </w:rPr>
        <w:t>z</w:t>
      </w:r>
      <w:r w:rsidR="005822AF" w:rsidRPr="00CB404D">
        <w:rPr>
          <w:rFonts w:cs="Times New Roman"/>
        </w:rPr>
        <w:t xml:space="preserve">ation needs to be fixed, because mainstreaming sustainability has failed. </w:t>
      </w:r>
      <w:r w:rsidR="001A4A2A" w:rsidRPr="00CB404D">
        <w:rPr>
          <w:rFonts w:cs="Times New Roman"/>
        </w:rPr>
        <w:t>T</w:t>
      </w:r>
      <w:r w:rsidR="005822AF" w:rsidRPr="00CB404D">
        <w:rPr>
          <w:rFonts w:cs="Times New Roman"/>
        </w:rPr>
        <w:t>he genius of the green economy is that</w:t>
      </w:r>
      <w:r w:rsidR="00226112">
        <w:rPr>
          <w:rFonts w:cs="Times New Roman"/>
        </w:rPr>
        <w:t>,</w:t>
      </w:r>
      <w:r w:rsidR="008F52A3" w:rsidRPr="00CB404D">
        <w:rPr>
          <w:rFonts w:cs="Times New Roman"/>
        </w:rPr>
        <w:t xml:space="preserve"> if </w:t>
      </w:r>
      <w:r w:rsidR="00A654F1">
        <w:rPr>
          <w:rFonts w:cs="Times New Roman"/>
        </w:rPr>
        <w:t>it is organized properly</w:t>
      </w:r>
      <w:r w:rsidR="008F52A3" w:rsidRPr="00CB404D">
        <w:rPr>
          <w:rFonts w:cs="Times New Roman"/>
        </w:rPr>
        <w:t>, by</w:t>
      </w:r>
      <w:r w:rsidR="005822AF" w:rsidRPr="00CB404D">
        <w:rPr>
          <w:rFonts w:cs="Times New Roman"/>
        </w:rPr>
        <w:t xml:space="preserve"> its </w:t>
      </w:r>
      <w:r w:rsidR="008F52A3" w:rsidRPr="00CB404D">
        <w:rPr>
          <w:rFonts w:cs="Times New Roman"/>
        </w:rPr>
        <w:t xml:space="preserve">very </w:t>
      </w:r>
      <w:r w:rsidR="005822AF" w:rsidRPr="00CB404D">
        <w:rPr>
          <w:rFonts w:cs="Times New Roman"/>
        </w:rPr>
        <w:t>functioning</w:t>
      </w:r>
      <w:r w:rsidR="00A654F1">
        <w:rPr>
          <w:rFonts w:cs="Times New Roman"/>
        </w:rPr>
        <w:t xml:space="preserve"> it</w:t>
      </w:r>
      <w:r w:rsidR="005822AF" w:rsidRPr="00CB404D">
        <w:rPr>
          <w:rFonts w:cs="Times New Roman"/>
        </w:rPr>
        <w:t xml:space="preserve"> deliver</w:t>
      </w:r>
      <w:r w:rsidR="00A654F1">
        <w:rPr>
          <w:rFonts w:cs="Times New Roman"/>
        </w:rPr>
        <w:t>s</w:t>
      </w:r>
      <w:r w:rsidR="005822AF" w:rsidRPr="00CB404D">
        <w:rPr>
          <w:rFonts w:cs="Times New Roman"/>
        </w:rPr>
        <w:t xml:space="preserve"> employment, social progress, </w:t>
      </w:r>
      <w:r w:rsidR="008F52A3" w:rsidRPr="00CB404D">
        <w:rPr>
          <w:rFonts w:cs="Times New Roman"/>
        </w:rPr>
        <w:t xml:space="preserve">and </w:t>
      </w:r>
      <w:r w:rsidR="005822AF" w:rsidRPr="00CB404D">
        <w:rPr>
          <w:rFonts w:cs="Times New Roman"/>
        </w:rPr>
        <w:t>sustainable natural resource management</w:t>
      </w:r>
      <w:r w:rsidR="008F52A3" w:rsidRPr="00CB404D">
        <w:rPr>
          <w:rFonts w:cs="Times New Roman"/>
        </w:rPr>
        <w:t>.</w:t>
      </w:r>
      <w:r w:rsidR="005822AF" w:rsidRPr="00CB404D">
        <w:rPr>
          <w:rFonts w:cs="Times New Roman"/>
        </w:rPr>
        <w:t xml:space="preserve"> </w:t>
      </w:r>
      <w:r w:rsidR="00EC1EB0" w:rsidRPr="00CB404D">
        <w:rPr>
          <w:rFonts w:cs="Times New Roman"/>
        </w:rPr>
        <w:t xml:space="preserve">This is why the green economy represents an important </w:t>
      </w:r>
      <w:r w:rsidR="00A654F1">
        <w:rPr>
          <w:rFonts w:cs="Times New Roman"/>
        </w:rPr>
        <w:t>re-</w:t>
      </w:r>
      <w:r w:rsidR="00EC1EB0" w:rsidRPr="00CB404D">
        <w:rPr>
          <w:rFonts w:cs="Times New Roman"/>
        </w:rPr>
        <w:t xml:space="preserve">evaluation </w:t>
      </w:r>
      <w:r w:rsidR="00A654F1">
        <w:rPr>
          <w:rFonts w:cs="Times New Roman"/>
        </w:rPr>
        <w:t>of</w:t>
      </w:r>
      <w:r w:rsidR="00EC1EB0" w:rsidRPr="00CB404D">
        <w:rPr>
          <w:rFonts w:cs="Times New Roman"/>
        </w:rPr>
        <w:t xml:space="preserve"> environmental thinking. </w:t>
      </w:r>
    </w:p>
    <w:p w:rsidR="005822AF" w:rsidRPr="00CB404D" w:rsidRDefault="005822AF" w:rsidP="00CB404D">
      <w:pPr>
        <w:spacing w:after="0" w:line="240" w:lineRule="auto"/>
        <w:rPr>
          <w:rFonts w:cs="Times New Roman"/>
        </w:rPr>
      </w:pPr>
    </w:p>
    <w:p w:rsidR="00CB404D" w:rsidRPr="00CB404D" w:rsidRDefault="00EC1EB0" w:rsidP="00CB404D">
      <w:pPr>
        <w:spacing w:after="0" w:line="240" w:lineRule="auto"/>
        <w:rPr>
          <w:rFonts w:cs="Times New Roman"/>
        </w:rPr>
      </w:pPr>
      <w:r w:rsidRPr="00CB404D">
        <w:rPr>
          <w:rFonts w:cs="Times New Roman"/>
        </w:rPr>
        <w:t xml:space="preserve">However, there is little traction at the political level. </w:t>
      </w:r>
      <w:r w:rsidR="001A4A2A" w:rsidRPr="00CB404D">
        <w:rPr>
          <w:rFonts w:cs="Times New Roman"/>
        </w:rPr>
        <w:t>A</w:t>
      </w:r>
      <w:r w:rsidRPr="00CB404D">
        <w:rPr>
          <w:rFonts w:cs="Times New Roman"/>
        </w:rPr>
        <w:t xml:space="preserve"> number of fea</w:t>
      </w:r>
      <w:r w:rsidR="001A4A2A" w:rsidRPr="00CB404D">
        <w:rPr>
          <w:rFonts w:cs="Times New Roman"/>
        </w:rPr>
        <w:t>rs related to the green economy</w:t>
      </w:r>
      <w:r w:rsidRPr="00CB404D">
        <w:rPr>
          <w:rFonts w:cs="Times New Roman"/>
        </w:rPr>
        <w:t xml:space="preserve"> are directly linked to trade. Among </w:t>
      </w:r>
      <w:r w:rsidR="001A4A2A" w:rsidRPr="00CB404D">
        <w:rPr>
          <w:rFonts w:cs="Times New Roman"/>
        </w:rPr>
        <w:t>these</w:t>
      </w:r>
      <w:r w:rsidRPr="00CB404D">
        <w:rPr>
          <w:rFonts w:cs="Times New Roman"/>
        </w:rPr>
        <w:t xml:space="preserve"> are standards </w:t>
      </w:r>
      <w:r w:rsidR="001A4A2A" w:rsidRPr="00CB404D">
        <w:rPr>
          <w:rFonts w:cs="Times New Roman"/>
        </w:rPr>
        <w:t>and technical regulations, which</w:t>
      </w:r>
      <w:r w:rsidRPr="00CB404D">
        <w:rPr>
          <w:rFonts w:cs="Times New Roman"/>
        </w:rPr>
        <w:t xml:space="preserve"> could potentially be used for protectionist purposes. Second, massi</w:t>
      </w:r>
      <w:r w:rsidR="001A4A2A" w:rsidRPr="00CB404D">
        <w:rPr>
          <w:rFonts w:cs="Times New Roman"/>
        </w:rPr>
        <w:t>ve technological transformation</w:t>
      </w:r>
      <w:r w:rsidRPr="00CB404D">
        <w:rPr>
          <w:rFonts w:cs="Times New Roman"/>
        </w:rPr>
        <w:t xml:space="preserve"> and </w:t>
      </w:r>
      <w:r w:rsidR="00176555" w:rsidRPr="00CB404D">
        <w:rPr>
          <w:rFonts w:cs="Times New Roman"/>
        </w:rPr>
        <w:t xml:space="preserve">accompanying </w:t>
      </w:r>
      <w:r w:rsidR="001A4A2A" w:rsidRPr="00CB404D">
        <w:rPr>
          <w:rFonts w:cs="Times New Roman"/>
        </w:rPr>
        <w:t>investment</w:t>
      </w:r>
      <w:r w:rsidRPr="00CB404D">
        <w:rPr>
          <w:rFonts w:cs="Times New Roman"/>
        </w:rPr>
        <w:t xml:space="preserve"> </w:t>
      </w:r>
      <w:r w:rsidR="00A654F1">
        <w:rPr>
          <w:rFonts w:cs="Times New Roman"/>
        </w:rPr>
        <w:t>are required, and these would be</w:t>
      </w:r>
      <w:r w:rsidR="00DD0454" w:rsidRPr="00CB404D">
        <w:rPr>
          <w:rFonts w:cs="Times New Roman"/>
        </w:rPr>
        <w:t xml:space="preserve"> vulnerable to </w:t>
      </w:r>
      <w:r w:rsidR="001A4A2A" w:rsidRPr="00CB404D">
        <w:rPr>
          <w:rFonts w:cs="Times New Roman"/>
        </w:rPr>
        <w:t>challenges</w:t>
      </w:r>
      <w:r w:rsidR="00DD0454" w:rsidRPr="00CB404D">
        <w:rPr>
          <w:rFonts w:cs="Times New Roman"/>
        </w:rPr>
        <w:t>. Third, with regard to action on climate change, where countries move at different speeds, border carbon adjustments</w:t>
      </w:r>
      <w:r w:rsidR="00A654F1">
        <w:rPr>
          <w:rFonts w:cs="Times New Roman"/>
        </w:rPr>
        <w:t xml:space="preserve"> are a risk</w:t>
      </w:r>
      <w:r w:rsidR="00DD0454" w:rsidRPr="00CB404D">
        <w:rPr>
          <w:rFonts w:cs="Times New Roman"/>
        </w:rPr>
        <w:t xml:space="preserve">. Overall, unless carefully crafted, </w:t>
      </w:r>
      <w:r w:rsidR="001A4A2A" w:rsidRPr="00CB404D">
        <w:rPr>
          <w:rFonts w:cs="Times New Roman"/>
        </w:rPr>
        <w:t>green economy measures risk becoming</w:t>
      </w:r>
      <w:r w:rsidR="00DD0454" w:rsidRPr="00CB404D">
        <w:rPr>
          <w:rFonts w:cs="Times New Roman"/>
        </w:rPr>
        <w:t xml:space="preserve"> a strain on the trade system and the </w:t>
      </w:r>
      <w:r w:rsidR="00A654F1">
        <w:rPr>
          <w:rFonts w:cs="Times New Roman"/>
        </w:rPr>
        <w:t>Dispute Settlement Understanding (</w:t>
      </w:r>
      <w:r w:rsidR="00DD0454" w:rsidRPr="00CB404D">
        <w:rPr>
          <w:rFonts w:cs="Times New Roman"/>
        </w:rPr>
        <w:t>DSU</w:t>
      </w:r>
      <w:r w:rsidR="00A654F1">
        <w:rPr>
          <w:rFonts w:cs="Times New Roman"/>
        </w:rPr>
        <w:t>}</w:t>
      </w:r>
      <w:r w:rsidR="00DD0454" w:rsidRPr="00CB404D">
        <w:rPr>
          <w:rFonts w:cs="Times New Roman"/>
        </w:rPr>
        <w:t xml:space="preserve"> in particular. </w:t>
      </w:r>
    </w:p>
    <w:p w:rsidR="00EC1EB0" w:rsidRPr="00CB404D" w:rsidRDefault="00EC1EB0" w:rsidP="00CB404D">
      <w:pPr>
        <w:spacing w:after="0" w:line="240" w:lineRule="auto"/>
        <w:rPr>
          <w:rFonts w:cs="Times New Roman"/>
        </w:rPr>
      </w:pPr>
    </w:p>
    <w:p w:rsidR="00CB404D" w:rsidRPr="00CB404D" w:rsidRDefault="003D5C3D" w:rsidP="00CB404D">
      <w:pPr>
        <w:spacing w:after="0" w:line="240" w:lineRule="auto"/>
        <w:rPr>
          <w:rFonts w:cs="Times New Roman"/>
        </w:rPr>
      </w:pPr>
      <w:r w:rsidRPr="00CB404D">
        <w:rPr>
          <w:rFonts w:cs="Times New Roman"/>
        </w:rPr>
        <w:t>The challenge is to work out a path towards a green economy that delivers for human</w:t>
      </w:r>
      <w:r w:rsidR="006530ED">
        <w:rPr>
          <w:rFonts w:cs="Times New Roman"/>
        </w:rPr>
        <w:t xml:space="preserve"> beings</w:t>
      </w:r>
      <w:r w:rsidRPr="00CB404D">
        <w:rPr>
          <w:rFonts w:cs="Times New Roman"/>
        </w:rPr>
        <w:t xml:space="preserve"> and </w:t>
      </w:r>
      <w:r w:rsidR="006530ED">
        <w:rPr>
          <w:rFonts w:cs="Times New Roman"/>
        </w:rPr>
        <w:t>entails</w:t>
      </w:r>
      <w:r w:rsidRPr="00CB404D">
        <w:rPr>
          <w:rFonts w:cs="Times New Roman"/>
        </w:rPr>
        <w:t xml:space="preserve"> minimum disturbance. </w:t>
      </w:r>
      <w:r w:rsidR="00176555" w:rsidRPr="00CB404D">
        <w:rPr>
          <w:rFonts w:cs="Times New Roman"/>
        </w:rPr>
        <w:t>Fundamentally, a</w:t>
      </w:r>
      <w:r w:rsidRPr="00CB404D">
        <w:rPr>
          <w:rFonts w:cs="Times New Roman"/>
        </w:rPr>
        <w:t xml:space="preserve"> fairness agenda is needed. There will be no forward movement if current privileges are maintained. This is what we need to understand in Rio. </w:t>
      </w:r>
    </w:p>
    <w:p w:rsidR="003D5C3D" w:rsidRPr="00CB404D" w:rsidRDefault="003D5C3D" w:rsidP="00CB404D">
      <w:pPr>
        <w:spacing w:after="0" w:line="240" w:lineRule="auto"/>
        <w:rPr>
          <w:rFonts w:cs="Times New Roman"/>
        </w:rPr>
      </w:pPr>
    </w:p>
    <w:p w:rsidR="0095430E" w:rsidRPr="0095430E" w:rsidRDefault="0095430E" w:rsidP="0095430E">
      <w:pPr>
        <w:spacing w:after="0" w:line="240" w:lineRule="auto"/>
        <w:rPr>
          <w:i/>
        </w:rPr>
      </w:pPr>
      <w:r>
        <w:rPr>
          <w:i/>
        </w:rPr>
        <w:t xml:space="preserve">(b) </w:t>
      </w:r>
      <w:r w:rsidRPr="0095430E">
        <w:rPr>
          <w:i/>
        </w:rPr>
        <w:t xml:space="preserve">Mr Guillermo </w:t>
      </w:r>
      <w:proofErr w:type="spellStart"/>
      <w:r w:rsidRPr="0095430E">
        <w:rPr>
          <w:i/>
        </w:rPr>
        <w:t>Valles</w:t>
      </w:r>
      <w:proofErr w:type="spellEnd"/>
      <w:r w:rsidRPr="0095430E">
        <w:rPr>
          <w:i/>
        </w:rPr>
        <w:t xml:space="preserve"> </w:t>
      </w:r>
      <w:proofErr w:type="spellStart"/>
      <w:r w:rsidRPr="0095430E">
        <w:rPr>
          <w:i/>
        </w:rPr>
        <w:t>Galmés</w:t>
      </w:r>
      <w:proofErr w:type="spellEnd"/>
      <w:r w:rsidRPr="0095430E">
        <w:rPr>
          <w:i/>
        </w:rPr>
        <w:t>, Director, Division o</w:t>
      </w:r>
      <w:r w:rsidR="00805391">
        <w:rPr>
          <w:i/>
        </w:rPr>
        <w:t>f</w:t>
      </w:r>
      <w:r w:rsidRPr="0095430E">
        <w:rPr>
          <w:i/>
        </w:rPr>
        <w:t xml:space="preserve"> International Trade in Goods and Services and Commodities, UNCTAD</w:t>
      </w:r>
    </w:p>
    <w:p w:rsidR="00BE5B94" w:rsidRPr="00CB404D" w:rsidRDefault="00BE5B94" w:rsidP="00CB404D">
      <w:pPr>
        <w:spacing w:after="0" w:line="240" w:lineRule="auto"/>
        <w:rPr>
          <w:rFonts w:cs="Times New Roman"/>
        </w:rPr>
      </w:pPr>
    </w:p>
    <w:p w:rsidR="00CB404D" w:rsidRPr="00CB404D" w:rsidRDefault="001B6F91" w:rsidP="00CB404D">
      <w:pPr>
        <w:spacing w:after="0" w:line="240" w:lineRule="auto"/>
        <w:rPr>
          <w:rFonts w:cs="Times New Roman"/>
        </w:rPr>
      </w:pPr>
      <w:r w:rsidRPr="00CB404D">
        <w:rPr>
          <w:rFonts w:cs="Times New Roman"/>
        </w:rPr>
        <w:t xml:space="preserve">Ambassador </w:t>
      </w:r>
      <w:proofErr w:type="spellStart"/>
      <w:r w:rsidR="00BE5B94" w:rsidRPr="00CB404D">
        <w:rPr>
          <w:rFonts w:cs="Times New Roman"/>
        </w:rPr>
        <w:t>Valles</w:t>
      </w:r>
      <w:proofErr w:type="spellEnd"/>
      <w:r w:rsidRPr="00CB404D">
        <w:rPr>
          <w:rFonts w:cs="Times New Roman"/>
        </w:rPr>
        <w:t xml:space="preserve"> highlighted the history of </w:t>
      </w:r>
      <w:r w:rsidR="00805391">
        <w:rPr>
          <w:rFonts w:cs="Times New Roman"/>
        </w:rPr>
        <w:t xml:space="preserve">the </w:t>
      </w:r>
      <w:r w:rsidRPr="00CB404D">
        <w:rPr>
          <w:rFonts w:cs="Times New Roman"/>
        </w:rPr>
        <w:t xml:space="preserve">engagement of the trade community in </w:t>
      </w:r>
      <w:r w:rsidR="00805391">
        <w:rPr>
          <w:rFonts w:cs="Times New Roman"/>
        </w:rPr>
        <w:t xml:space="preserve">the </w:t>
      </w:r>
      <w:r w:rsidRPr="00CB404D">
        <w:rPr>
          <w:rFonts w:cs="Times New Roman"/>
        </w:rPr>
        <w:t xml:space="preserve">environment and </w:t>
      </w:r>
      <w:r w:rsidR="00805391">
        <w:rPr>
          <w:rFonts w:cs="Times New Roman"/>
        </w:rPr>
        <w:t xml:space="preserve">in </w:t>
      </w:r>
      <w:r w:rsidRPr="00CB404D">
        <w:rPr>
          <w:rFonts w:cs="Times New Roman"/>
        </w:rPr>
        <w:t>sustainable development, which dates back to the Stockholm Conference in 1972.</w:t>
      </w:r>
      <w:r w:rsidR="00F50172" w:rsidRPr="00CB404D">
        <w:rPr>
          <w:rFonts w:cs="Times New Roman"/>
        </w:rPr>
        <w:t xml:space="preserve"> On the green economy, he </w:t>
      </w:r>
      <w:r w:rsidR="00134128" w:rsidRPr="00CB404D">
        <w:rPr>
          <w:rFonts w:cs="Times New Roman"/>
        </w:rPr>
        <w:t xml:space="preserve">stressed </w:t>
      </w:r>
      <w:r w:rsidR="00F50172" w:rsidRPr="00CB404D">
        <w:rPr>
          <w:rFonts w:cs="Times New Roman"/>
        </w:rPr>
        <w:t>that the concept</w:t>
      </w:r>
      <w:r w:rsidR="00EF539B" w:rsidRPr="00CB404D">
        <w:rPr>
          <w:rFonts w:cs="Times New Roman"/>
        </w:rPr>
        <w:t xml:space="preserve"> is embedded within sustainable development. </w:t>
      </w:r>
      <w:proofErr w:type="gramStart"/>
      <w:r w:rsidR="00EF539B" w:rsidRPr="00CB404D">
        <w:rPr>
          <w:rFonts w:cs="Times New Roman"/>
        </w:rPr>
        <w:t>It cannot be seen as curtailing economic growth</w:t>
      </w:r>
      <w:proofErr w:type="gramEnd"/>
      <w:r w:rsidR="00EF539B" w:rsidRPr="00CB404D">
        <w:rPr>
          <w:rFonts w:cs="Times New Roman"/>
        </w:rPr>
        <w:t xml:space="preserve">, </w:t>
      </w:r>
      <w:proofErr w:type="gramStart"/>
      <w:r w:rsidR="00EF539B" w:rsidRPr="00CB404D">
        <w:rPr>
          <w:rFonts w:cs="Times New Roman"/>
        </w:rPr>
        <w:t xml:space="preserve">otherwise it </w:t>
      </w:r>
      <w:r w:rsidR="00134128" w:rsidRPr="00CB404D">
        <w:rPr>
          <w:rFonts w:cs="Times New Roman"/>
        </w:rPr>
        <w:t>will fail</w:t>
      </w:r>
      <w:proofErr w:type="gramEnd"/>
      <w:r w:rsidR="00134128" w:rsidRPr="00CB404D">
        <w:rPr>
          <w:rFonts w:cs="Times New Roman"/>
        </w:rPr>
        <w:t>. Rather</w:t>
      </w:r>
      <w:r w:rsidR="00EF539B" w:rsidRPr="00CB404D">
        <w:rPr>
          <w:rFonts w:cs="Times New Roman"/>
        </w:rPr>
        <w:t>, the green economy must be about green growth</w:t>
      </w:r>
      <w:r w:rsidR="007D0B6B" w:rsidRPr="00CB404D">
        <w:rPr>
          <w:rFonts w:cs="Times New Roman"/>
        </w:rPr>
        <w:t>, equity</w:t>
      </w:r>
      <w:r w:rsidR="00EF539B" w:rsidRPr="00CB404D">
        <w:rPr>
          <w:rFonts w:cs="Times New Roman"/>
        </w:rPr>
        <w:t xml:space="preserve"> and inclusiveness. </w:t>
      </w:r>
    </w:p>
    <w:p w:rsidR="00EF539B" w:rsidRPr="00CB404D" w:rsidRDefault="00EF539B" w:rsidP="00CB404D">
      <w:pPr>
        <w:spacing w:after="0" w:line="240" w:lineRule="auto"/>
        <w:rPr>
          <w:rFonts w:cs="Times New Roman"/>
        </w:rPr>
      </w:pPr>
    </w:p>
    <w:p w:rsidR="00CB404D" w:rsidRPr="00CB404D" w:rsidRDefault="00F50172" w:rsidP="00CB404D">
      <w:pPr>
        <w:spacing w:after="0" w:line="240" w:lineRule="auto"/>
        <w:rPr>
          <w:rFonts w:cs="Times New Roman"/>
        </w:rPr>
      </w:pPr>
      <w:r w:rsidRPr="00CB404D">
        <w:rPr>
          <w:rFonts w:cs="Times New Roman"/>
        </w:rPr>
        <w:t>There are</w:t>
      </w:r>
      <w:r w:rsidR="00EF539B" w:rsidRPr="00CB404D">
        <w:rPr>
          <w:rFonts w:cs="Times New Roman"/>
        </w:rPr>
        <w:t xml:space="preserve"> common goals</w:t>
      </w:r>
      <w:r w:rsidRPr="00CB404D">
        <w:rPr>
          <w:rFonts w:cs="Times New Roman"/>
        </w:rPr>
        <w:t xml:space="preserve"> that make sense</w:t>
      </w:r>
      <w:r w:rsidR="00EF539B" w:rsidRPr="00CB404D">
        <w:rPr>
          <w:rFonts w:cs="Times New Roman"/>
        </w:rPr>
        <w:t xml:space="preserve">: using less natural resources, </w:t>
      </w:r>
      <w:r w:rsidR="00EB0BE1" w:rsidRPr="00CB404D">
        <w:rPr>
          <w:rFonts w:cs="Times New Roman"/>
        </w:rPr>
        <w:t>having a less carbon</w:t>
      </w:r>
      <w:r w:rsidR="002A6AF4">
        <w:rPr>
          <w:rFonts w:cs="Times New Roman"/>
        </w:rPr>
        <w:t>-</w:t>
      </w:r>
      <w:r w:rsidR="00EB0BE1" w:rsidRPr="00CB404D">
        <w:rPr>
          <w:rFonts w:cs="Times New Roman"/>
        </w:rPr>
        <w:t>intensive production system, and finding a more equitable path to economic development. Governments, consumers</w:t>
      </w:r>
      <w:r w:rsidR="002A6AF4">
        <w:rPr>
          <w:rFonts w:cs="Times New Roman"/>
        </w:rPr>
        <w:t xml:space="preserve"> and</w:t>
      </w:r>
      <w:r w:rsidR="00EB0BE1" w:rsidRPr="00CB404D">
        <w:rPr>
          <w:rFonts w:cs="Times New Roman"/>
        </w:rPr>
        <w:t xml:space="preserve"> civil society will all be the actors of the green</w:t>
      </w:r>
      <w:r w:rsidR="00134128" w:rsidRPr="00CB404D">
        <w:rPr>
          <w:rFonts w:cs="Times New Roman"/>
        </w:rPr>
        <w:t xml:space="preserve"> economy</w:t>
      </w:r>
      <w:r w:rsidR="00EC64C4" w:rsidRPr="00CB404D">
        <w:rPr>
          <w:rFonts w:cs="Times New Roman"/>
        </w:rPr>
        <w:t>, creating their own conception</w:t>
      </w:r>
      <w:r w:rsidR="00A935B7">
        <w:rPr>
          <w:rFonts w:cs="Times New Roman"/>
        </w:rPr>
        <w:t xml:space="preserve"> of that economy</w:t>
      </w:r>
      <w:r w:rsidR="00EC64C4" w:rsidRPr="00CB404D">
        <w:rPr>
          <w:rFonts w:cs="Times New Roman"/>
        </w:rPr>
        <w:t xml:space="preserve"> by accessing different products and services. To move towards a green economy, </w:t>
      </w:r>
      <w:r w:rsidR="002A6AF4">
        <w:rPr>
          <w:rFonts w:cs="Times New Roman"/>
        </w:rPr>
        <w:t xml:space="preserve">there are </w:t>
      </w:r>
      <w:r w:rsidR="00EC64C4" w:rsidRPr="00CB404D">
        <w:rPr>
          <w:rFonts w:cs="Times New Roman"/>
        </w:rPr>
        <w:t>three steps</w:t>
      </w:r>
      <w:r w:rsidR="002A6AF4">
        <w:rPr>
          <w:rFonts w:cs="Times New Roman"/>
        </w:rPr>
        <w:t xml:space="preserve"> to be </w:t>
      </w:r>
      <w:r w:rsidR="00226112">
        <w:rPr>
          <w:rFonts w:cs="Times New Roman"/>
        </w:rPr>
        <w:t>taken</w:t>
      </w:r>
      <w:r w:rsidR="00EC64C4" w:rsidRPr="00CB404D">
        <w:rPr>
          <w:rFonts w:cs="Times New Roman"/>
        </w:rPr>
        <w:t xml:space="preserve">: identifying new sources </w:t>
      </w:r>
      <w:r w:rsidR="00134128" w:rsidRPr="00CB404D">
        <w:rPr>
          <w:rFonts w:cs="Times New Roman"/>
        </w:rPr>
        <w:t>of</w:t>
      </w:r>
      <w:r w:rsidR="00EC64C4" w:rsidRPr="00CB404D">
        <w:rPr>
          <w:rFonts w:cs="Times New Roman"/>
        </w:rPr>
        <w:t xml:space="preserve"> funding; creating an enabling environment for private investment in funding the transition; and seeing trade </w:t>
      </w:r>
      <w:r w:rsidR="007B74DC" w:rsidRPr="00CB404D">
        <w:rPr>
          <w:rFonts w:cs="Times New Roman"/>
        </w:rPr>
        <w:t xml:space="preserve">clearly </w:t>
      </w:r>
      <w:r w:rsidR="00EC64C4" w:rsidRPr="00CB404D">
        <w:rPr>
          <w:rFonts w:cs="Times New Roman"/>
        </w:rPr>
        <w:t>as advantage</w:t>
      </w:r>
      <w:r w:rsidR="007B74DC">
        <w:rPr>
          <w:rFonts w:cs="Times New Roman"/>
        </w:rPr>
        <w:t>ou</w:t>
      </w:r>
      <w:r w:rsidR="00226112">
        <w:rPr>
          <w:rFonts w:cs="Times New Roman"/>
        </w:rPr>
        <w:t>s</w:t>
      </w:r>
      <w:r w:rsidR="00EC64C4" w:rsidRPr="00CB404D">
        <w:rPr>
          <w:rFonts w:cs="Times New Roman"/>
        </w:rPr>
        <w:t xml:space="preserve"> to promote the change needed. One cannot get to the green economy with less open trade.</w:t>
      </w:r>
    </w:p>
    <w:p w:rsidR="00EF539B" w:rsidRPr="00CB404D" w:rsidRDefault="00EF539B" w:rsidP="00CB404D">
      <w:pPr>
        <w:spacing w:after="0" w:line="240" w:lineRule="auto"/>
        <w:rPr>
          <w:rFonts w:cs="Times New Roman"/>
        </w:rPr>
      </w:pPr>
    </w:p>
    <w:p w:rsidR="00CB404D" w:rsidRPr="00CB404D" w:rsidRDefault="00F50172" w:rsidP="00CB404D">
      <w:pPr>
        <w:spacing w:after="0" w:line="240" w:lineRule="auto"/>
        <w:rPr>
          <w:rFonts w:cs="Times New Roman"/>
        </w:rPr>
      </w:pPr>
      <w:r w:rsidRPr="00CB404D">
        <w:rPr>
          <w:rFonts w:cs="Times New Roman"/>
        </w:rPr>
        <w:t>The transition to a green economy is already happening on the ground. For example, private sector initiatives on corporate social responsibility have grown exponentially</w:t>
      </w:r>
      <w:r w:rsidR="00DA1EAC">
        <w:rPr>
          <w:rFonts w:cs="Times New Roman"/>
        </w:rPr>
        <w:t xml:space="preserve"> – in </w:t>
      </w:r>
      <w:r w:rsidRPr="00CB404D">
        <w:rPr>
          <w:rFonts w:cs="Times New Roman"/>
        </w:rPr>
        <w:t>developing countries</w:t>
      </w:r>
      <w:r w:rsidR="00DA1EAC">
        <w:rPr>
          <w:rFonts w:cs="Times New Roman"/>
        </w:rPr>
        <w:t xml:space="preserve"> as well – and </w:t>
      </w:r>
      <w:r w:rsidRPr="00CB404D">
        <w:rPr>
          <w:rFonts w:cs="Times New Roman"/>
        </w:rPr>
        <w:t xml:space="preserve">there are now more than 200,000 ISO 1400 certified companies in 250 countries. Governments will need to enable </w:t>
      </w:r>
      <w:r w:rsidR="00906CE2">
        <w:rPr>
          <w:rFonts w:cs="Times New Roman"/>
        </w:rPr>
        <w:t xml:space="preserve">more such </w:t>
      </w:r>
      <w:r w:rsidRPr="00CB404D">
        <w:rPr>
          <w:rFonts w:cs="Times New Roman"/>
        </w:rPr>
        <w:t>transition</w:t>
      </w:r>
      <w:r w:rsidR="00906CE2">
        <w:rPr>
          <w:rFonts w:cs="Times New Roman"/>
        </w:rPr>
        <w:t>s</w:t>
      </w:r>
      <w:r w:rsidRPr="00CB404D">
        <w:rPr>
          <w:rFonts w:cs="Times New Roman"/>
        </w:rPr>
        <w:t xml:space="preserve">. </w:t>
      </w:r>
    </w:p>
    <w:p w:rsidR="00F50172" w:rsidRPr="00CB404D" w:rsidRDefault="00F50172" w:rsidP="00CB404D">
      <w:pPr>
        <w:spacing w:after="0" w:line="240" w:lineRule="auto"/>
        <w:rPr>
          <w:rFonts w:cs="Times New Roman"/>
        </w:rPr>
      </w:pPr>
    </w:p>
    <w:p w:rsidR="00CB404D" w:rsidRPr="00CB404D" w:rsidRDefault="00405CAF" w:rsidP="00CB404D">
      <w:pPr>
        <w:spacing w:after="0" w:line="240" w:lineRule="auto"/>
        <w:rPr>
          <w:rFonts w:cs="Times New Roman"/>
        </w:rPr>
      </w:pPr>
      <w:r w:rsidRPr="00CB404D">
        <w:rPr>
          <w:rFonts w:cs="Times New Roman"/>
        </w:rPr>
        <w:t>There are challenges as well, related to government interven</w:t>
      </w:r>
      <w:r w:rsidR="00C15483" w:rsidRPr="00CB404D">
        <w:rPr>
          <w:rFonts w:cs="Times New Roman"/>
        </w:rPr>
        <w:t>tions, such as subsidies, taxes</w:t>
      </w:r>
      <w:r w:rsidRPr="00CB404D">
        <w:rPr>
          <w:rFonts w:cs="Times New Roman"/>
        </w:rPr>
        <w:t xml:space="preserve"> </w:t>
      </w:r>
      <w:r w:rsidR="00C15483" w:rsidRPr="00CB404D">
        <w:rPr>
          <w:rFonts w:cs="Times New Roman"/>
        </w:rPr>
        <w:t xml:space="preserve">and </w:t>
      </w:r>
      <w:r w:rsidRPr="00CB404D">
        <w:rPr>
          <w:rFonts w:cs="Times New Roman"/>
        </w:rPr>
        <w:t>standards that distort the playing field for developing countries with less capacity to adjust and compete. The issues need to be debated, and UNCTAD</w:t>
      </w:r>
      <w:r w:rsidR="00C15483" w:rsidRPr="00CB404D">
        <w:rPr>
          <w:rFonts w:cs="Times New Roman"/>
        </w:rPr>
        <w:t xml:space="preserve"> </w:t>
      </w:r>
      <w:r w:rsidRPr="00CB404D">
        <w:rPr>
          <w:rFonts w:cs="Times New Roman"/>
        </w:rPr>
        <w:t>could provide a forum for all stakeholders to do so</w:t>
      </w:r>
      <w:r w:rsidR="00C15483" w:rsidRPr="00CB404D">
        <w:rPr>
          <w:rFonts w:cs="Times New Roman"/>
        </w:rPr>
        <w:t xml:space="preserve">, as well as provide the information and space for neutral fact-based debate. This could take pressure off the DSU, </w:t>
      </w:r>
      <w:r w:rsidR="007507E1" w:rsidRPr="00CB404D">
        <w:rPr>
          <w:rFonts w:cs="Times New Roman"/>
        </w:rPr>
        <w:t>preventing potential di</w:t>
      </w:r>
      <w:r w:rsidR="00C15483" w:rsidRPr="00CB404D">
        <w:rPr>
          <w:rFonts w:cs="Times New Roman"/>
        </w:rPr>
        <w:t>sputes at the WTO and overloading the system.</w:t>
      </w:r>
      <w:r w:rsidR="00F50172" w:rsidRPr="00CB404D">
        <w:rPr>
          <w:rFonts w:cs="Times New Roman"/>
        </w:rPr>
        <w:t xml:space="preserve"> As different actors play different roles</w:t>
      </w:r>
      <w:r w:rsidR="007B74DC">
        <w:rPr>
          <w:rFonts w:cs="Times New Roman"/>
        </w:rPr>
        <w:t>,</w:t>
      </w:r>
      <w:r w:rsidR="00F50172" w:rsidRPr="00CB404D">
        <w:rPr>
          <w:rFonts w:cs="Times New Roman"/>
        </w:rPr>
        <w:t xml:space="preserve"> UNCTAD will undertake initiatives to bring coherence to the system. </w:t>
      </w:r>
    </w:p>
    <w:p w:rsidR="00E14F3A" w:rsidRPr="00CB404D" w:rsidRDefault="00E14F3A" w:rsidP="00CB404D">
      <w:pPr>
        <w:spacing w:after="0" w:line="240" w:lineRule="auto"/>
        <w:rPr>
          <w:rFonts w:cs="Times New Roman"/>
        </w:rPr>
      </w:pPr>
    </w:p>
    <w:p w:rsidR="0095430E" w:rsidRPr="0095430E" w:rsidRDefault="0095430E" w:rsidP="0095430E">
      <w:pPr>
        <w:spacing w:after="0" w:line="240" w:lineRule="auto"/>
        <w:rPr>
          <w:i/>
        </w:rPr>
      </w:pPr>
      <w:r w:rsidRPr="0095430E">
        <w:rPr>
          <w:i/>
        </w:rPr>
        <w:t xml:space="preserve">(c) H.E. Mr Manuel A.J. </w:t>
      </w:r>
      <w:proofErr w:type="spellStart"/>
      <w:r w:rsidRPr="0095430E">
        <w:rPr>
          <w:i/>
        </w:rPr>
        <w:t>Teehankee</w:t>
      </w:r>
      <w:proofErr w:type="spellEnd"/>
      <w:r w:rsidRPr="0095430E">
        <w:rPr>
          <w:i/>
        </w:rPr>
        <w:t>, Former Ambassador of the Philippines to the WTO</w:t>
      </w:r>
    </w:p>
    <w:p w:rsidR="00E14F3A" w:rsidRPr="00CB404D" w:rsidRDefault="00E14F3A" w:rsidP="00CB404D">
      <w:pPr>
        <w:spacing w:after="0" w:line="240" w:lineRule="auto"/>
        <w:rPr>
          <w:rFonts w:cs="Times New Roman"/>
        </w:rPr>
      </w:pPr>
    </w:p>
    <w:p w:rsidR="00CB404D" w:rsidRPr="00CB404D" w:rsidRDefault="00AA58B0" w:rsidP="00CB404D">
      <w:pPr>
        <w:spacing w:after="0" w:line="240" w:lineRule="auto"/>
        <w:rPr>
          <w:rFonts w:cs="Times New Roman"/>
        </w:rPr>
      </w:pPr>
      <w:r w:rsidRPr="00CB404D">
        <w:rPr>
          <w:rFonts w:cs="Times New Roman"/>
        </w:rPr>
        <w:t xml:space="preserve">Ambassador </w:t>
      </w:r>
      <w:proofErr w:type="spellStart"/>
      <w:r w:rsidRPr="00CB404D">
        <w:rPr>
          <w:rFonts w:cs="Times New Roman"/>
        </w:rPr>
        <w:t>Teehankee</w:t>
      </w:r>
      <w:proofErr w:type="spellEnd"/>
      <w:r w:rsidRPr="00CB404D">
        <w:rPr>
          <w:rFonts w:cs="Times New Roman"/>
        </w:rPr>
        <w:t xml:space="preserve"> </w:t>
      </w:r>
      <w:r w:rsidR="009179DC" w:rsidRPr="00CB404D">
        <w:rPr>
          <w:rFonts w:cs="Times New Roman"/>
        </w:rPr>
        <w:t>stressed that</w:t>
      </w:r>
      <w:r w:rsidRPr="00CB404D">
        <w:rPr>
          <w:rFonts w:cs="Times New Roman"/>
        </w:rPr>
        <w:t xml:space="preserve"> trade and sustainable development can support </w:t>
      </w:r>
      <w:r w:rsidR="00DC5AF3" w:rsidRPr="00CB404D">
        <w:rPr>
          <w:rFonts w:cs="Times New Roman"/>
        </w:rPr>
        <w:t>a triple-</w:t>
      </w:r>
      <w:r w:rsidR="00DC21D9" w:rsidRPr="00CB404D">
        <w:rPr>
          <w:rFonts w:cs="Times New Roman"/>
        </w:rPr>
        <w:t xml:space="preserve">win strategy. </w:t>
      </w:r>
      <w:r w:rsidRPr="00CB404D">
        <w:rPr>
          <w:rFonts w:cs="Times New Roman"/>
        </w:rPr>
        <w:t>However, t</w:t>
      </w:r>
      <w:r w:rsidR="00DC21D9" w:rsidRPr="00CB404D">
        <w:rPr>
          <w:rFonts w:cs="Times New Roman"/>
        </w:rPr>
        <w:t>o move forward</w:t>
      </w:r>
      <w:r w:rsidR="007B74DC">
        <w:rPr>
          <w:rFonts w:cs="Times New Roman"/>
        </w:rPr>
        <w:t>,</w:t>
      </w:r>
      <w:r w:rsidR="00DC21D9" w:rsidRPr="00CB404D">
        <w:rPr>
          <w:rFonts w:cs="Times New Roman"/>
        </w:rPr>
        <w:t xml:space="preserve"> unity and cooperation</w:t>
      </w:r>
      <w:r w:rsidRPr="00CB404D">
        <w:rPr>
          <w:rFonts w:cs="Times New Roman"/>
        </w:rPr>
        <w:t xml:space="preserve"> </w:t>
      </w:r>
      <w:r w:rsidR="007B74DC">
        <w:rPr>
          <w:rFonts w:cs="Times New Roman"/>
        </w:rPr>
        <w:t>are</w:t>
      </w:r>
      <w:r w:rsidRPr="00CB404D">
        <w:rPr>
          <w:rFonts w:cs="Times New Roman"/>
        </w:rPr>
        <w:t xml:space="preserve"> needed</w:t>
      </w:r>
      <w:r w:rsidR="00DC21D9" w:rsidRPr="00CB404D">
        <w:rPr>
          <w:rFonts w:cs="Times New Roman"/>
        </w:rPr>
        <w:t xml:space="preserve">. </w:t>
      </w:r>
      <w:r w:rsidR="007B74DC">
        <w:rPr>
          <w:rFonts w:cs="Times New Roman"/>
        </w:rPr>
        <w:t>H</w:t>
      </w:r>
      <w:r w:rsidR="000A1127" w:rsidRPr="00CB404D">
        <w:rPr>
          <w:rFonts w:cs="Times New Roman"/>
        </w:rPr>
        <w:t>e stressed the need for cooperative consensus on core goals, based on shared values</w:t>
      </w:r>
      <w:r w:rsidR="007B74DC">
        <w:rPr>
          <w:rFonts w:cs="Times New Roman"/>
        </w:rPr>
        <w:t>, in order</w:t>
      </w:r>
      <w:r w:rsidR="007B74DC" w:rsidRPr="007B74DC">
        <w:rPr>
          <w:rFonts w:cs="Times New Roman"/>
        </w:rPr>
        <w:t xml:space="preserve"> </w:t>
      </w:r>
      <w:r w:rsidR="007B74DC" w:rsidRPr="00CB404D">
        <w:rPr>
          <w:rFonts w:cs="Times New Roman"/>
        </w:rPr>
        <w:t xml:space="preserve">to best deliver for the global community and </w:t>
      </w:r>
      <w:r w:rsidR="00BC24F3">
        <w:rPr>
          <w:rFonts w:cs="Times New Roman"/>
        </w:rPr>
        <w:t xml:space="preserve">the </w:t>
      </w:r>
      <w:r w:rsidR="007B74DC" w:rsidRPr="00CB404D">
        <w:rPr>
          <w:rFonts w:cs="Times New Roman"/>
        </w:rPr>
        <w:t>global poor</w:t>
      </w:r>
      <w:r w:rsidR="000A1127" w:rsidRPr="00CB404D">
        <w:rPr>
          <w:rFonts w:cs="Times New Roman"/>
        </w:rPr>
        <w:t xml:space="preserve">. </w:t>
      </w:r>
      <w:r w:rsidR="009179DC" w:rsidRPr="00CB404D">
        <w:rPr>
          <w:rFonts w:cs="Times New Roman"/>
        </w:rPr>
        <w:t>P</w:t>
      </w:r>
      <w:r w:rsidR="000A1127" w:rsidRPr="00CB404D">
        <w:rPr>
          <w:rFonts w:cs="Times New Roman"/>
        </w:rPr>
        <w:t>rocesses such as Rio and Rio+20 have generated the concepts of sustainable development and the green economy. In the end</w:t>
      </w:r>
      <w:r w:rsidR="009179DC" w:rsidRPr="00CB404D">
        <w:rPr>
          <w:rFonts w:cs="Times New Roman"/>
        </w:rPr>
        <w:t>,</w:t>
      </w:r>
      <w:r w:rsidR="000A1127" w:rsidRPr="00CB404D">
        <w:rPr>
          <w:rFonts w:cs="Times New Roman"/>
        </w:rPr>
        <w:t xml:space="preserve"> we arrive at a triple win</w:t>
      </w:r>
      <w:r w:rsidR="00BC24F3">
        <w:rPr>
          <w:rFonts w:cs="Times New Roman"/>
        </w:rPr>
        <w:t>,</w:t>
      </w:r>
      <w:r w:rsidR="000A1127" w:rsidRPr="00CB404D">
        <w:rPr>
          <w:rFonts w:cs="Times New Roman"/>
        </w:rPr>
        <w:t xml:space="preserve"> with trade and investment gains as well as environmental gains and gains from sustainable development. </w:t>
      </w:r>
      <w:r w:rsidR="00B306BC">
        <w:rPr>
          <w:rFonts w:cs="Times New Roman"/>
        </w:rPr>
        <w:t>T</w:t>
      </w:r>
      <w:r w:rsidR="000A1127" w:rsidRPr="00CB404D">
        <w:rPr>
          <w:rFonts w:cs="Times New Roman"/>
        </w:rPr>
        <w:t>he</w:t>
      </w:r>
      <w:r w:rsidR="00B306BC">
        <w:rPr>
          <w:rFonts w:cs="Times New Roman"/>
        </w:rPr>
        <w:t xml:space="preserve"> </w:t>
      </w:r>
      <w:r w:rsidR="00F54CB7" w:rsidRPr="00CB404D">
        <w:rPr>
          <w:rFonts w:cs="Times New Roman"/>
        </w:rPr>
        <w:t>WTO negotiati</w:t>
      </w:r>
      <w:r w:rsidR="000A1127" w:rsidRPr="00CB404D">
        <w:rPr>
          <w:rFonts w:cs="Times New Roman"/>
        </w:rPr>
        <w:t xml:space="preserve">ons </w:t>
      </w:r>
      <w:r w:rsidR="00BC24F3">
        <w:rPr>
          <w:rFonts w:cs="Times New Roman"/>
        </w:rPr>
        <w:t>could</w:t>
      </w:r>
      <w:r w:rsidR="000A1127" w:rsidRPr="00CB404D">
        <w:rPr>
          <w:rFonts w:cs="Times New Roman"/>
        </w:rPr>
        <w:t xml:space="preserve"> </w:t>
      </w:r>
      <w:r w:rsidR="00BC24F3" w:rsidRPr="00CB404D">
        <w:rPr>
          <w:rFonts w:cs="Times New Roman"/>
        </w:rPr>
        <w:t>potential</w:t>
      </w:r>
      <w:r w:rsidR="00BC24F3">
        <w:rPr>
          <w:rFonts w:cs="Times New Roman"/>
        </w:rPr>
        <w:t>ly</w:t>
      </w:r>
      <w:r w:rsidR="00BC24F3" w:rsidRPr="00CB404D">
        <w:rPr>
          <w:rFonts w:cs="Times New Roman"/>
        </w:rPr>
        <w:t xml:space="preserve"> </w:t>
      </w:r>
      <w:r w:rsidR="000A1127" w:rsidRPr="00CB404D">
        <w:rPr>
          <w:rFonts w:cs="Times New Roman"/>
        </w:rPr>
        <w:t>provide a contribution</w:t>
      </w:r>
      <w:r w:rsidR="00BC24F3">
        <w:rPr>
          <w:rFonts w:cs="Times New Roman"/>
        </w:rPr>
        <w:t xml:space="preserve"> to this</w:t>
      </w:r>
      <w:r w:rsidR="000A1127" w:rsidRPr="00CB404D">
        <w:rPr>
          <w:rFonts w:cs="Times New Roman"/>
        </w:rPr>
        <w:t>.</w:t>
      </w:r>
    </w:p>
    <w:p w:rsidR="00AA58B0" w:rsidRPr="00CB404D" w:rsidRDefault="00AA58B0" w:rsidP="00CB404D">
      <w:pPr>
        <w:spacing w:after="0" w:line="240" w:lineRule="auto"/>
        <w:rPr>
          <w:rFonts w:cs="Times New Roman"/>
        </w:rPr>
      </w:pPr>
    </w:p>
    <w:p w:rsidR="00CB404D" w:rsidRPr="00CB404D" w:rsidRDefault="00AA58B0" w:rsidP="00CB404D">
      <w:pPr>
        <w:spacing w:after="0" w:line="240" w:lineRule="auto"/>
        <w:rPr>
          <w:rFonts w:cs="Times New Roman"/>
        </w:rPr>
      </w:pPr>
      <w:r w:rsidRPr="00CB404D">
        <w:rPr>
          <w:rFonts w:cs="Times New Roman"/>
        </w:rPr>
        <w:t xml:space="preserve">Ambassador </w:t>
      </w:r>
      <w:proofErr w:type="spellStart"/>
      <w:r w:rsidRPr="00CB404D">
        <w:rPr>
          <w:rFonts w:cs="Times New Roman"/>
        </w:rPr>
        <w:t>Teehankee</w:t>
      </w:r>
      <w:proofErr w:type="spellEnd"/>
      <w:r w:rsidRPr="00CB404D">
        <w:rPr>
          <w:rFonts w:cs="Times New Roman"/>
        </w:rPr>
        <w:t xml:space="preserve"> provided an account of the aims and state of play of the negotiations process under the </w:t>
      </w:r>
      <w:r w:rsidR="00DC21D9" w:rsidRPr="00CB404D">
        <w:rPr>
          <w:rFonts w:cs="Times New Roman"/>
        </w:rPr>
        <w:t>Doha mandate</w:t>
      </w:r>
      <w:r w:rsidRPr="00CB404D">
        <w:rPr>
          <w:rFonts w:cs="Times New Roman"/>
        </w:rPr>
        <w:t xml:space="preserve"> on trade and environment</w:t>
      </w:r>
      <w:r w:rsidR="00DC21D9" w:rsidRPr="00CB404D">
        <w:rPr>
          <w:rFonts w:cs="Times New Roman"/>
        </w:rPr>
        <w:t xml:space="preserve">. </w:t>
      </w:r>
      <w:r w:rsidR="009A21A5">
        <w:rPr>
          <w:rFonts w:cs="Times New Roman"/>
        </w:rPr>
        <w:t>He noted</w:t>
      </w:r>
      <w:r w:rsidRPr="00CB404D">
        <w:rPr>
          <w:rFonts w:cs="Times New Roman"/>
        </w:rPr>
        <w:t xml:space="preserve"> that much progress has been made, but </w:t>
      </w:r>
      <w:r w:rsidR="00BC24F3">
        <w:rPr>
          <w:rFonts w:cs="Times New Roman"/>
        </w:rPr>
        <w:t xml:space="preserve">that </w:t>
      </w:r>
      <w:r w:rsidRPr="00CB404D">
        <w:rPr>
          <w:rFonts w:cs="Times New Roman"/>
        </w:rPr>
        <w:t>unresolved is</w:t>
      </w:r>
      <w:r w:rsidR="009179DC" w:rsidRPr="00CB404D">
        <w:rPr>
          <w:rFonts w:cs="Times New Roman"/>
        </w:rPr>
        <w:t xml:space="preserve">sues still remain, </w:t>
      </w:r>
      <w:r w:rsidR="009A21A5">
        <w:rPr>
          <w:rFonts w:cs="Times New Roman"/>
        </w:rPr>
        <w:t xml:space="preserve">and </w:t>
      </w:r>
      <w:r w:rsidR="009179DC" w:rsidRPr="00CB404D">
        <w:rPr>
          <w:rFonts w:cs="Times New Roman"/>
        </w:rPr>
        <w:t xml:space="preserve">he said </w:t>
      </w:r>
      <w:r w:rsidRPr="00CB404D">
        <w:rPr>
          <w:rFonts w:cs="Times New Roman"/>
        </w:rPr>
        <w:t>this is part of a</w:t>
      </w:r>
      <w:r w:rsidR="009179DC" w:rsidRPr="00CB404D">
        <w:rPr>
          <w:rFonts w:cs="Times New Roman"/>
        </w:rPr>
        <w:t xml:space="preserve"> growing-</w:t>
      </w:r>
      <w:r w:rsidR="00DC21D9" w:rsidRPr="00CB404D">
        <w:rPr>
          <w:rFonts w:cs="Times New Roman"/>
        </w:rPr>
        <w:t xml:space="preserve">up progress. </w:t>
      </w:r>
      <w:r w:rsidR="009179DC" w:rsidRPr="00CB404D">
        <w:rPr>
          <w:rFonts w:cs="Times New Roman"/>
        </w:rPr>
        <w:t>He highlighted the</w:t>
      </w:r>
      <w:r w:rsidRPr="00CB404D">
        <w:rPr>
          <w:rFonts w:cs="Times New Roman"/>
        </w:rPr>
        <w:t xml:space="preserve"> need for balanced regulation, as it is the f</w:t>
      </w:r>
      <w:r w:rsidR="00DC21D9" w:rsidRPr="00CB404D">
        <w:rPr>
          <w:rFonts w:cs="Times New Roman"/>
        </w:rPr>
        <w:t xml:space="preserve">irst time in history </w:t>
      </w:r>
      <w:r w:rsidRPr="00CB404D">
        <w:rPr>
          <w:rFonts w:cs="Times New Roman"/>
        </w:rPr>
        <w:t>that these</w:t>
      </w:r>
      <w:r w:rsidR="00DC21D9" w:rsidRPr="00CB404D">
        <w:rPr>
          <w:rFonts w:cs="Times New Roman"/>
        </w:rPr>
        <w:t xml:space="preserve"> trade, env</w:t>
      </w:r>
      <w:r w:rsidRPr="00CB404D">
        <w:rPr>
          <w:rFonts w:cs="Times New Roman"/>
        </w:rPr>
        <w:t>ironment</w:t>
      </w:r>
      <w:r w:rsidR="00DC21D9" w:rsidRPr="00CB404D">
        <w:rPr>
          <w:rFonts w:cs="Times New Roman"/>
        </w:rPr>
        <w:t xml:space="preserve"> and development goals</w:t>
      </w:r>
      <w:r w:rsidRPr="00CB404D">
        <w:rPr>
          <w:rFonts w:cs="Times New Roman"/>
        </w:rPr>
        <w:t xml:space="preserve"> are being integrated</w:t>
      </w:r>
      <w:r w:rsidR="00DC21D9" w:rsidRPr="00CB404D">
        <w:rPr>
          <w:rFonts w:cs="Times New Roman"/>
        </w:rPr>
        <w:t xml:space="preserve">. </w:t>
      </w:r>
      <w:r w:rsidR="009179DC" w:rsidRPr="00CB404D">
        <w:rPr>
          <w:rFonts w:cs="Times New Roman"/>
        </w:rPr>
        <w:t xml:space="preserve">He </w:t>
      </w:r>
      <w:proofErr w:type="gramStart"/>
      <w:r w:rsidR="009179DC" w:rsidRPr="00CB404D">
        <w:rPr>
          <w:rFonts w:cs="Times New Roman"/>
        </w:rPr>
        <w:t>said</w:t>
      </w:r>
      <w:proofErr w:type="gramEnd"/>
      <w:r w:rsidR="009179DC" w:rsidRPr="00CB404D">
        <w:rPr>
          <w:rFonts w:cs="Times New Roman"/>
        </w:rPr>
        <w:t xml:space="preserve"> </w:t>
      </w:r>
      <w:proofErr w:type="gramStart"/>
      <w:r w:rsidR="00291BA5">
        <w:rPr>
          <w:rFonts w:cs="Times New Roman"/>
        </w:rPr>
        <w:t xml:space="preserve">that </w:t>
      </w:r>
      <w:r w:rsidR="009179DC" w:rsidRPr="00CB404D">
        <w:rPr>
          <w:rFonts w:cs="Times New Roman"/>
        </w:rPr>
        <w:t>governments need</w:t>
      </w:r>
      <w:proofErr w:type="gramEnd"/>
      <w:r w:rsidR="009179DC" w:rsidRPr="00CB404D">
        <w:rPr>
          <w:rFonts w:cs="Times New Roman"/>
        </w:rPr>
        <w:t xml:space="preserve"> to provide an enabling environment for the goals of a green economy. Governments do need to regulate, he said, highlighting a paradigm shift in this regard in 2008 with the financial crises. </w:t>
      </w:r>
    </w:p>
    <w:p w:rsidR="009179DC" w:rsidRPr="00CB404D" w:rsidRDefault="009179DC" w:rsidP="00CB404D">
      <w:pPr>
        <w:spacing w:after="0" w:line="240" w:lineRule="auto"/>
        <w:rPr>
          <w:rFonts w:cs="Times New Roman"/>
        </w:rPr>
      </w:pPr>
    </w:p>
    <w:p w:rsidR="00CB404D" w:rsidRPr="00CB404D" w:rsidRDefault="009179DC" w:rsidP="00CB404D">
      <w:pPr>
        <w:spacing w:after="0" w:line="240" w:lineRule="auto"/>
        <w:rPr>
          <w:rFonts w:cs="Times New Roman"/>
        </w:rPr>
      </w:pPr>
      <w:r w:rsidRPr="00CB404D">
        <w:rPr>
          <w:rFonts w:cs="Times New Roman"/>
        </w:rPr>
        <w:t xml:space="preserve">Ambassador </w:t>
      </w:r>
      <w:proofErr w:type="spellStart"/>
      <w:r w:rsidRPr="00CB404D">
        <w:rPr>
          <w:rFonts w:cs="Times New Roman"/>
        </w:rPr>
        <w:t>Teehankee</w:t>
      </w:r>
      <w:proofErr w:type="spellEnd"/>
      <w:r w:rsidR="00AA58B0" w:rsidRPr="00CB404D">
        <w:rPr>
          <w:rFonts w:cs="Times New Roman"/>
        </w:rPr>
        <w:t xml:space="preserve"> said that the CTESS</w:t>
      </w:r>
      <w:r w:rsidR="00B306BC">
        <w:rPr>
          <w:rFonts w:cs="Times New Roman"/>
        </w:rPr>
        <w:t xml:space="preserve"> (Committee on Trade and Environment in Special Session)</w:t>
      </w:r>
      <w:r w:rsidR="00AA58B0" w:rsidRPr="00CB404D">
        <w:rPr>
          <w:rFonts w:cs="Times New Roman"/>
        </w:rPr>
        <w:t xml:space="preserve"> does </w:t>
      </w:r>
      <w:r w:rsidR="00E56BBB" w:rsidRPr="00CB404D">
        <w:rPr>
          <w:rFonts w:cs="Times New Roman"/>
        </w:rPr>
        <w:t xml:space="preserve">have </w:t>
      </w:r>
      <w:r w:rsidR="00AA58B0" w:rsidRPr="00CB404D">
        <w:rPr>
          <w:rFonts w:cs="Times New Roman"/>
        </w:rPr>
        <w:t xml:space="preserve">a </w:t>
      </w:r>
      <w:r w:rsidR="00E56BBB" w:rsidRPr="00CB404D">
        <w:rPr>
          <w:rFonts w:cs="Times New Roman"/>
        </w:rPr>
        <w:t xml:space="preserve">deliverable, </w:t>
      </w:r>
      <w:r w:rsidR="00AA58B0" w:rsidRPr="00CB404D">
        <w:rPr>
          <w:rFonts w:cs="Times New Roman"/>
        </w:rPr>
        <w:t xml:space="preserve">in the form of a </w:t>
      </w:r>
      <w:r w:rsidR="00E56BBB" w:rsidRPr="00CB404D">
        <w:rPr>
          <w:rFonts w:cs="Times New Roman"/>
        </w:rPr>
        <w:t xml:space="preserve">draft ministerial decision. </w:t>
      </w:r>
      <w:r w:rsidR="00DC5AF3" w:rsidRPr="00CB404D">
        <w:rPr>
          <w:rFonts w:cs="Times New Roman"/>
        </w:rPr>
        <w:t xml:space="preserve">However, the section on </w:t>
      </w:r>
      <w:r w:rsidR="00AC2024">
        <w:rPr>
          <w:rFonts w:cs="Times New Roman"/>
        </w:rPr>
        <w:t>e</w:t>
      </w:r>
      <w:r w:rsidR="00DC5AF3" w:rsidRPr="00CB404D">
        <w:rPr>
          <w:rFonts w:cs="Times New Roman"/>
        </w:rPr>
        <w:t xml:space="preserve">nvironmental </w:t>
      </w:r>
      <w:r w:rsidR="00AC2024">
        <w:rPr>
          <w:rFonts w:cs="Times New Roman"/>
        </w:rPr>
        <w:t>g</w:t>
      </w:r>
      <w:r w:rsidR="00DC5AF3" w:rsidRPr="00CB404D">
        <w:rPr>
          <w:rFonts w:cs="Times New Roman"/>
        </w:rPr>
        <w:t xml:space="preserve">oods and </w:t>
      </w:r>
      <w:r w:rsidR="00AC2024">
        <w:rPr>
          <w:rFonts w:cs="Times New Roman"/>
        </w:rPr>
        <w:t>s</w:t>
      </w:r>
      <w:r w:rsidR="00DC5AF3" w:rsidRPr="00CB404D">
        <w:rPr>
          <w:rFonts w:cs="Times New Roman"/>
        </w:rPr>
        <w:t>ervices</w:t>
      </w:r>
      <w:r w:rsidR="00AC2024">
        <w:rPr>
          <w:rFonts w:cs="Times New Roman"/>
        </w:rPr>
        <w:t xml:space="preserve"> (EGS)</w:t>
      </w:r>
      <w:r w:rsidR="00DC5AF3" w:rsidRPr="00CB404D">
        <w:rPr>
          <w:rFonts w:cs="Times New Roman"/>
        </w:rPr>
        <w:t xml:space="preserve"> in particular needs </w:t>
      </w:r>
      <w:r w:rsidR="00E56BBB" w:rsidRPr="00CB404D">
        <w:rPr>
          <w:rFonts w:cs="Times New Roman"/>
        </w:rPr>
        <w:t xml:space="preserve">much more work. </w:t>
      </w:r>
      <w:r w:rsidR="00EC1A89" w:rsidRPr="00CB404D">
        <w:rPr>
          <w:rFonts w:cs="Times New Roman"/>
        </w:rPr>
        <w:t xml:space="preserve">Meanwhile, the world </w:t>
      </w:r>
      <w:r w:rsidR="00AC2024">
        <w:rPr>
          <w:rFonts w:cs="Times New Roman"/>
        </w:rPr>
        <w:t>is</w:t>
      </w:r>
      <w:r w:rsidR="00EC1A89" w:rsidRPr="00CB404D">
        <w:rPr>
          <w:rFonts w:cs="Times New Roman"/>
        </w:rPr>
        <w:t xml:space="preserve"> not stand</w:t>
      </w:r>
      <w:r w:rsidR="00AC2024">
        <w:rPr>
          <w:rFonts w:cs="Times New Roman"/>
        </w:rPr>
        <w:t>ing</w:t>
      </w:r>
      <w:r w:rsidR="00EC1A89" w:rsidRPr="00CB404D">
        <w:rPr>
          <w:rFonts w:cs="Times New Roman"/>
        </w:rPr>
        <w:t xml:space="preserve"> still</w:t>
      </w:r>
      <w:r w:rsidR="00DC5AF3" w:rsidRPr="00CB404D">
        <w:rPr>
          <w:rFonts w:cs="Times New Roman"/>
        </w:rPr>
        <w:t xml:space="preserve">, and exports in EGS have grown to </w:t>
      </w:r>
      <w:r w:rsidR="00E01276">
        <w:rPr>
          <w:rFonts w:cs="Times New Roman"/>
        </w:rPr>
        <w:t>a value of</w:t>
      </w:r>
      <w:r w:rsidR="00DC5AF3" w:rsidRPr="00CB404D">
        <w:rPr>
          <w:rFonts w:cs="Times New Roman"/>
        </w:rPr>
        <w:t xml:space="preserve"> t</w:t>
      </w:r>
      <w:r w:rsidR="00EC1A89" w:rsidRPr="00CB404D">
        <w:rPr>
          <w:rFonts w:cs="Times New Roman"/>
        </w:rPr>
        <w:t>rillions</w:t>
      </w:r>
      <w:r w:rsidR="00DC5AF3" w:rsidRPr="00CB404D">
        <w:rPr>
          <w:rFonts w:cs="Times New Roman"/>
        </w:rPr>
        <w:t xml:space="preserve"> of US</w:t>
      </w:r>
      <w:r w:rsidR="00237846">
        <w:rPr>
          <w:rFonts w:cs="Times New Roman"/>
        </w:rPr>
        <w:t xml:space="preserve"> dollars</w:t>
      </w:r>
      <w:r w:rsidR="00DC5AF3" w:rsidRPr="00CB404D">
        <w:rPr>
          <w:rFonts w:cs="Times New Roman"/>
        </w:rPr>
        <w:t xml:space="preserve"> annually</w:t>
      </w:r>
      <w:r w:rsidR="00EC1A89" w:rsidRPr="00CB404D">
        <w:rPr>
          <w:rFonts w:cs="Times New Roman"/>
        </w:rPr>
        <w:t xml:space="preserve">. </w:t>
      </w:r>
      <w:r w:rsidR="00DC5AF3" w:rsidRPr="00CB404D">
        <w:rPr>
          <w:rFonts w:cs="Times New Roman"/>
        </w:rPr>
        <w:t>The EU and C</w:t>
      </w:r>
      <w:r w:rsidR="00EC1A89" w:rsidRPr="00CB404D">
        <w:rPr>
          <w:rFonts w:cs="Times New Roman"/>
        </w:rPr>
        <w:t xml:space="preserve">hina </w:t>
      </w:r>
      <w:r w:rsidR="00DC5AF3" w:rsidRPr="00CB404D">
        <w:rPr>
          <w:rFonts w:cs="Times New Roman"/>
        </w:rPr>
        <w:t>are the main exporters a</w:t>
      </w:r>
      <w:r w:rsidRPr="00CB404D">
        <w:rPr>
          <w:rFonts w:cs="Times New Roman"/>
        </w:rPr>
        <w:t>s well as importers in the area. H</w:t>
      </w:r>
      <w:r w:rsidR="00DC5AF3" w:rsidRPr="00CB404D">
        <w:rPr>
          <w:rFonts w:cs="Times New Roman"/>
        </w:rPr>
        <w:t>owever, the picture is much more diverse</w:t>
      </w:r>
      <w:r w:rsidR="00AC2024">
        <w:rPr>
          <w:rFonts w:cs="Times New Roman"/>
        </w:rPr>
        <w:t>,</w:t>
      </w:r>
      <w:r w:rsidR="00DC5AF3" w:rsidRPr="00CB404D">
        <w:rPr>
          <w:rFonts w:cs="Times New Roman"/>
        </w:rPr>
        <w:t xml:space="preserve"> with many other smaller actors </w:t>
      </w:r>
      <w:r w:rsidRPr="00CB404D">
        <w:rPr>
          <w:rFonts w:cs="Times New Roman"/>
        </w:rPr>
        <w:t xml:space="preserve">also </w:t>
      </w:r>
      <w:r w:rsidR="00DC5AF3" w:rsidRPr="00CB404D">
        <w:rPr>
          <w:rFonts w:cs="Times New Roman"/>
        </w:rPr>
        <w:t xml:space="preserve">playing important roles. In response to a question on the importance of the Doha Round </w:t>
      </w:r>
      <w:r w:rsidR="00F53290" w:rsidRPr="00CB404D">
        <w:rPr>
          <w:rFonts w:cs="Times New Roman"/>
        </w:rPr>
        <w:t>for environmental cooperation</w:t>
      </w:r>
      <w:r w:rsidR="00DC5AF3" w:rsidRPr="00CB404D">
        <w:rPr>
          <w:rFonts w:cs="Times New Roman"/>
        </w:rPr>
        <w:t xml:space="preserve">, Ambassador </w:t>
      </w:r>
      <w:proofErr w:type="spellStart"/>
      <w:r w:rsidR="00DC5AF3" w:rsidRPr="00CB404D">
        <w:rPr>
          <w:rFonts w:cs="Times New Roman"/>
        </w:rPr>
        <w:t>Teehankee</w:t>
      </w:r>
      <w:proofErr w:type="spellEnd"/>
      <w:r w:rsidR="00DC5AF3" w:rsidRPr="00CB404D">
        <w:rPr>
          <w:rFonts w:cs="Times New Roman"/>
        </w:rPr>
        <w:t xml:space="preserve"> stressed that an international agreement would allow for the spread of best practices – especially beyond the main players – and the release of much-needed cooperative energy. </w:t>
      </w:r>
    </w:p>
    <w:p w:rsidR="00BE5B94" w:rsidRPr="00CB404D" w:rsidRDefault="00BE5B94" w:rsidP="00CB404D">
      <w:pPr>
        <w:spacing w:after="0" w:line="240" w:lineRule="auto"/>
        <w:rPr>
          <w:rFonts w:cs="Times New Roman"/>
        </w:rPr>
      </w:pPr>
    </w:p>
    <w:p w:rsidR="0095430E" w:rsidRPr="0095430E" w:rsidRDefault="0095430E" w:rsidP="0095430E">
      <w:pPr>
        <w:spacing w:after="0" w:line="240" w:lineRule="auto"/>
        <w:rPr>
          <w:i/>
        </w:rPr>
      </w:pPr>
      <w:r>
        <w:rPr>
          <w:i/>
        </w:rPr>
        <w:t xml:space="preserve">(d) </w:t>
      </w:r>
      <w:r w:rsidRPr="0095430E">
        <w:rPr>
          <w:i/>
        </w:rPr>
        <w:t xml:space="preserve">Mr Ahmed Abdel </w:t>
      </w:r>
      <w:proofErr w:type="spellStart"/>
      <w:r w:rsidRPr="0095430E">
        <w:rPr>
          <w:i/>
        </w:rPr>
        <w:t>Latif</w:t>
      </w:r>
      <w:proofErr w:type="spellEnd"/>
      <w:r w:rsidRPr="0095430E">
        <w:rPr>
          <w:i/>
        </w:rPr>
        <w:t>, Intellectual Property and Technology Senior Programme Manager, ICTSD</w:t>
      </w:r>
    </w:p>
    <w:p w:rsidR="00BE5B94" w:rsidRPr="00CB404D" w:rsidRDefault="00BE5B94" w:rsidP="00CB404D">
      <w:pPr>
        <w:spacing w:after="0" w:line="240" w:lineRule="auto"/>
        <w:rPr>
          <w:rFonts w:cs="Times New Roman"/>
        </w:rPr>
      </w:pPr>
    </w:p>
    <w:p w:rsidR="00CB404D" w:rsidRPr="00CB404D" w:rsidRDefault="004F5231" w:rsidP="00CB404D">
      <w:pPr>
        <w:spacing w:after="0" w:line="240" w:lineRule="auto"/>
        <w:rPr>
          <w:rFonts w:cs="Times New Roman"/>
        </w:rPr>
      </w:pPr>
      <w:r w:rsidRPr="00CB404D">
        <w:rPr>
          <w:rFonts w:cs="Times New Roman"/>
        </w:rPr>
        <w:t xml:space="preserve">Mr Abdel </w:t>
      </w:r>
      <w:proofErr w:type="spellStart"/>
      <w:r w:rsidRPr="00CB404D">
        <w:rPr>
          <w:rFonts w:cs="Times New Roman"/>
        </w:rPr>
        <w:t>Latif</w:t>
      </w:r>
      <w:proofErr w:type="spellEnd"/>
      <w:r w:rsidRPr="00CB404D">
        <w:rPr>
          <w:rFonts w:cs="Times New Roman"/>
        </w:rPr>
        <w:t xml:space="preserve"> noted the key role that technology plays, both as a catalyst and engine, in the transition to the green economy. This was recognised at UNCED in Rio in 1992. Indeed, Agenda 21 contains a </w:t>
      </w:r>
      <w:r w:rsidR="00F53290" w:rsidRPr="00CB404D">
        <w:rPr>
          <w:rFonts w:cs="Times New Roman"/>
        </w:rPr>
        <w:t>chapter on technology transfer and m</w:t>
      </w:r>
      <w:r w:rsidR="006D231A" w:rsidRPr="00CB404D">
        <w:rPr>
          <w:rFonts w:cs="Times New Roman"/>
        </w:rPr>
        <w:t xml:space="preserve">any of the </w:t>
      </w:r>
      <w:r w:rsidR="00AC2024">
        <w:rPr>
          <w:rFonts w:cs="Times New Roman"/>
        </w:rPr>
        <w:t>multilateral environmental agreements (</w:t>
      </w:r>
      <w:proofErr w:type="spellStart"/>
      <w:r w:rsidR="00AC2024">
        <w:rPr>
          <w:rFonts w:cs="Times New Roman"/>
        </w:rPr>
        <w:t>MEAs</w:t>
      </w:r>
      <w:proofErr w:type="spellEnd"/>
      <w:r w:rsidR="00AC2024">
        <w:rPr>
          <w:rFonts w:cs="Times New Roman"/>
        </w:rPr>
        <w:t>)</w:t>
      </w:r>
      <w:r w:rsidR="006D231A" w:rsidRPr="00CB404D">
        <w:rPr>
          <w:rFonts w:cs="Times New Roman"/>
        </w:rPr>
        <w:t xml:space="preserve"> that came out of Rio contain technology transfer provisions. However, implementation</w:t>
      </w:r>
      <w:r w:rsidR="00F53290" w:rsidRPr="00CB404D">
        <w:rPr>
          <w:rFonts w:cs="Times New Roman"/>
        </w:rPr>
        <w:t xml:space="preserve"> </w:t>
      </w:r>
      <w:r w:rsidR="00474E90">
        <w:rPr>
          <w:rFonts w:cs="Times New Roman"/>
        </w:rPr>
        <w:t>–</w:t>
      </w:r>
      <w:r w:rsidR="00F53290" w:rsidRPr="00CB404D">
        <w:rPr>
          <w:rFonts w:cs="Times New Roman"/>
        </w:rPr>
        <w:t xml:space="preserve"> the</w:t>
      </w:r>
      <w:r w:rsidR="00474E90">
        <w:rPr>
          <w:rFonts w:cs="Times New Roman"/>
        </w:rPr>
        <w:t xml:space="preserve"> </w:t>
      </w:r>
      <w:r w:rsidR="00F53290" w:rsidRPr="00CB404D">
        <w:rPr>
          <w:rFonts w:cs="Times New Roman"/>
        </w:rPr>
        <w:t xml:space="preserve">role of markets, enabling environments, funding for developing countries </w:t>
      </w:r>
      <w:r w:rsidR="00474E90">
        <w:rPr>
          <w:rFonts w:cs="Times New Roman"/>
        </w:rPr>
        <w:t>–</w:t>
      </w:r>
      <w:r w:rsidR="00F53290" w:rsidRPr="00CB404D">
        <w:rPr>
          <w:rFonts w:cs="Times New Roman"/>
        </w:rPr>
        <w:t xml:space="preserve"> has</w:t>
      </w:r>
      <w:r w:rsidR="00474E90">
        <w:rPr>
          <w:rFonts w:cs="Times New Roman"/>
        </w:rPr>
        <w:t xml:space="preserve"> </w:t>
      </w:r>
      <w:r w:rsidR="00F53290" w:rsidRPr="00CB404D">
        <w:rPr>
          <w:rFonts w:cs="Times New Roman"/>
        </w:rPr>
        <w:t>been a challenge</w:t>
      </w:r>
      <w:r w:rsidR="006D231A" w:rsidRPr="00CB404D">
        <w:rPr>
          <w:rFonts w:cs="Times New Roman"/>
        </w:rPr>
        <w:t xml:space="preserve">. The MEA secretariats have carried out needs assessments, but struggled </w:t>
      </w:r>
      <w:r w:rsidR="00F53290" w:rsidRPr="00CB404D">
        <w:rPr>
          <w:rFonts w:cs="Times New Roman"/>
        </w:rPr>
        <w:t>to move</w:t>
      </w:r>
      <w:r w:rsidR="006D231A" w:rsidRPr="00CB404D">
        <w:rPr>
          <w:rFonts w:cs="Times New Roman"/>
        </w:rPr>
        <w:t xml:space="preserve"> forward. In the area of climate change, therefore, a new technology mechanism was agreed at Cancun with the aim of </w:t>
      </w:r>
      <w:proofErr w:type="spellStart"/>
      <w:r w:rsidR="006D231A" w:rsidRPr="00CB404D">
        <w:rPr>
          <w:rFonts w:cs="Times New Roman"/>
        </w:rPr>
        <w:t>operationalizing</w:t>
      </w:r>
      <w:proofErr w:type="spellEnd"/>
      <w:r w:rsidR="006D231A" w:rsidRPr="00CB404D">
        <w:rPr>
          <w:rFonts w:cs="Times New Roman"/>
        </w:rPr>
        <w:t xml:space="preserve"> technology transfer. </w:t>
      </w:r>
    </w:p>
    <w:p w:rsidR="004F5231" w:rsidRPr="00CB404D" w:rsidRDefault="004F5231" w:rsidP="00CB404D">
      <w:pPr>
        <w:spacing w:after="0" w:line="240" w:lineRule="auto"/>
        <w:rPr>
          <w:rFonts w:cs="Times New Roman"/>
        </w:rPr>
      </w:pPr>
    </w:p>
    <w:p w:rsidR="00CB404D" w:rsidRPr="00CB404D" w:rsidRDefault="006D231A" w:rsidP="00CB404D">
      <w:pPr>
        <w:spacing w:after="0" w:line="240" w:lineRule="auto"/>
        <w:rPr>
          <w:rFonts w:cs="Times New Roman"/>
        </w:rPr>
      </w:pPr>
      <w:r w:rsidRPr="00CB404D">
        <w:rPr>
          <w:rFonts w:cs="Times New Roman"/>
        </w:rPr>
        <w:t>Today, negotiating positions</w:t>
      </w:r>
      <w:r w:rsidR="00F53290" w:rsidRPr="00CB404D">
        <w:rPr>
          <w:rFonts w:cs="Times New Roman"/>
        </w:rPr>
        <w:t xml:space="preserve"> on technology transfer are </w:t>
      </w:r>
      <w:r w:rsidR="00474E90">
        <w:rPr>
          <w:rFonts w:cs="Times New Roman"/>
        </w:rPr>
        <w:t>becoming less flexible</w:t>
      </w:r>
      <w:r w:rsidRPr="00CB404D">
        <w:rPr>
          <w:rFonts w:cs="Times New Roman"/>
        </w:rPr>
        <w:t xml:space="preserve">. This is due to the growing importance of the knowledge economy and </w:t>
      </w:r>
      <w:r w:rsidR="00763845">
        <w:rPr>
          <w:rFonts w:cs="Times New Roman"/>
        </w:rPr>
        <w:t>intellectual property</w:t>
      </w:r>
      <w:r w:rsidR="004242FE">
        <w:rPr>
          <w:rFonts w:cs="Times New Roman"/>
        </w:rPr>
        <w:t xml:space="preserve"> (IP)</w:t>
      </w:r>
      <w:r w:rsidRPr="00CB404D">
        <w:rPr>
          <w:rFonts w:cs="Times New Roman"/>
        </w:rPr>
        <w:t xml:space="preserve"> assets. There has been a paradigm shift, and innovation now tops the policy agenda, with a focus not only on science or technology, </w:t>
      </w:r>
      <w:proofErr w:type="gramStart"/>
      <w:r w:rsidRPr="00CB404D">
        <w:rPr>
          <w:rFonts w:cs="Times New Roman"/>
        </w:rPr>
        <w:t>but</w:t>
      </w:r>
      <w:proofErr w:type="gramEnd"/>
      <w:r w:rsidRPr="00CB404D">
        <w:rPr>
          <w:rFonts w:cs="Times New Roman"/>
        </w:rPr>
        <w:t xml:space="preserve"> on bringing new products to market. </w:t>
      </w:r>
      <w:r w:rsidR="003F6BD3" w:rsidRPr="00CB404D">
        <w:rPr>
          <w:rFonts w:cs="Times New Roman"/>
        </w:rPr>
        <w:t xml:space="preserve">The </w:t>
      </w:r>
      <w:r w:rsidRPr="00CB404D">
        <w:rPr>
          <w:rFonts w:cs="Times New Roman"/>
        </w:rPr>
        <w:t xml:space="preserve">new UNFCCC technology mechanism provides a good example. It focuses on building networks of innovation centres in developing countries. </w:t>
      </w:r>
    </w:p>
    <w:p w:rsidR="006D231A" w:rsidRPr="00CB404D" w:rsidRDefault="006D231A" w:rsidP="00CB404D">
      <w:pPr>
        <w:spacing w:after="0" w:line="240" w:lineRule="auto"/>
        <w:rPr>
          <w:rFonts w:cs="Times New Roman"/>
        </w:rPr>
      </w:pPr>
    </w:p>
    <w:p w:rsidR="00CB404D" w:rsidRPr="00CB404D" w:rsidRDefault="003F6BD3" w:rsidP="00CB404D">
      <w:pPr>
        <w:spacing w:after="0" w:line="240" w:lineRule="auto"/>
        <w:rPr>
          <w:rFonts w:cs="Times New Roman"/>
        </w:rPr>
      </w:pPr>
      <w:r w:rsidRPr="00CB404D">
        <w:rPr>
          <w:rFonts w:cs="Times New Roman"/>
        </w:rPr>
        <w:t xml:space="preserve">Green innovation tops the innovation agenda. </w:t>
      </w:r>
      <w:r w:rsidR="00F53290" w:rsidRPr="00CB404D">
        <w:rPr>
          <w:rFonts w:cs="Times New Roman"/>
        </w:rPr>
        <w:t>E</w:t>
      </w:r>
      <w:r w:rsidR="006D231A" w:rsidRPr="00CB404D">
        <w:rPr>
          <w:rFonts w:cs="Times New Roman"/>
        </w:rPr>
        <w:t xml:space="preserve">merging economies </w:t>
      </w:r>
      <w:r w:rsidR="00F53290" w:rsidRPr="00CB404D">
        <w:rPr>
          <w:rFonts w:cs="Times New Roman"/>
        </w:rPr>
        <w:t xml:space="preserve">are </w:t>
      </w:r>
      <w:r w:rsidR="006D231A" w:rsidRPr="00CB404D">
        <w:rPr>
          <w:rFonts w:cs="Times New Roman"/>
        </w:rPr>
        <w:t>now playing important roles, and patent filing trends reflect this new reality. Today, greater empirical evidence is available on</w:t>
      </w:r>
      <w:r w:rsidR="00F53290" w:rsidRPr="00CB404D">
        <w:rPr>
          <w:rFonts w:cs="Times New Roman"/>
        </w:rPr>
        <w:t xml:space="preserve"> what drives</w:t>
      </w:r>
      <w:r w:rsidR="006D231A" w:rsidRPr="00CB404D">
        <w:rPr>
          <w:rFonts w:cs="Times New Roman"/>
        </w:rPr>
        <w:t xml:space="preserve"> technology diffusion. </w:t>
      </w:r>
      <w:r w:rsidR="00F53290" w:rsidRPr="00CB404D">
        <w:rPr>
          <w:rFonts w:cs="Times New Roman"/>
        </w:rPr>
        <w:t>For example, t</w:t>
      </w:r>
      <w:r w:rsidR="00E359B5" w:rsidRPr="00CB404D">
        <w:rPr>
          <w:rFonts w:cs="Times New Roman"/>
        </w:rPr>
        <w:t xml:space="preserve">here is evidence of the importance of the Kyoto Protocol and the signals it sent in the area of climate technology, as demonstrated by research carried out by ICTSD, UNEP and the EPO. </w:t>
      </w:r>
      <w:r w:rsidRPr="00CB404D">
        <w:rPr>
          <w:rFonts w:cs="Times New Roman"/>
        </w:rPr>
        <w:t>New</w:t>
      </w:r>
      <w:r w:rsidR="00E359B5" w:rsidRPr="00CB404D">
        <w:rPr>
          <w:rFonts w:cs="Times New Roman"/>
        </w:rPr>
        <w:t xml:space="preserve"> ways to impro</w:t>
      </w:r>
      <w:r w:rsidRPr="00CB404D">
        <w:rPr>
          <w:rFonts w:cs="Times New Roman"/>
        </w:rPr>
        <w:t>ve technology transfer include</w:t>
      </w:r>
      <w:r w:rsidR="00E359B5" w:rsidRPr="00CB404D">
        <w:rPr>
          <w:rFonts w:cs="Times New Roman"/>
        </w:rPr>
        <w:t xml:space="preserve"> fast-tracking green tech patent applications, open </w:t>
      </w:r>
      <w:proofErr w:type="gramStart"/>
      <w:r w:rsidR="00E359B5" w:rsidRPr="00CB404D">
        <w:rPr>
          <w:rFonts w:cs="Times New Roman"/>
        </w:rPr>
        <w:t>innovation,</w:t>
      </w:r>
      <w:proofErr w:type="gramEnd"/>
      <w:r w:rsidR="00E359B5" w:rsidRPr="00CB404D">
        <w:rPr>
          <w:rFonts w:cs="Times New Roman"/>
        </w:rPr>
        <w:t xml:space="preserve"> green patents commons and green tech exchange platforms. On the diffusion side, </w:t>
      </w:r>
      <w:r w:rsidR="0015635B">
        <w:rPr>
          <w:rFonts w:cs="Times New Roman"/>
        </w:rPr>
        <w:t>least-developed countries (</w:t>
      </w:r>
      <w:proofErr w:type="spellStart"/>
      <w:r w:rsidR="00E359B5" w:rsidRPr="00CB404D">
        <w:rPr>
          <w:rFonts w:cs="Times New Roman"/>
        </w:rPr>
        <w:t>LDCs</w:t>
      </w:r>
      <w:proofErr w:type="spellEnd"/>
      <w:r w:rsidR="0015635B">
        <w:rPr>
          <w:rFonts w:cs="Times New Roman"/>
        </w:rPr>
        <w:t>)</w:t>
      </w:r>
      <w:r w:rsidR="00E359B5" w:rsidRPr="00CB404D">
        <w:rPr>
          <w:rFonts w:cs="Times New Roman"/>
        </w:rPr>
        <w:t xml:space="preserve"> are lagging behind</w:t>
      </w:r>
      <w:r w:rsidRPr="00CB404D">
        <w:rPr>
          <w:rFonts w:cs="Times New Roman"/>
        </w:rPr>
        <w:t xml:space="preserve"> other countries</w:t>
      </w:r>
      <w:r w:rsidR="00E359B5" w:rsidRPr="00CB404D">
        <w:rPr>
          <w:rFonts w:cs="Times New Roman"/>
        </w:rPr>
        <w:t>, and</w:t>
      </w:r>
      <w:r w:rsidRPr="00CB404D">
        <w:rPr>
          <w:rFonts w:cs="Times New Roman"/>
        </w:rPr>
        <w:t xml:space="preserve"> for them</w:t>
      </w:r>
      <w:r w:rsidR="00E359B5" w:rsidRPr="00CB404D">
        <w:rPr>
          <w:rFonts w:cs="Times New Roman"/>
        </w:rPr>
        <w:t xml:space="preserve"> </w:t>
      </w:r>
      <w:r w:rsidRPr="00CB404D">
        <w:rPr>
          <w:rFonts w:cs="Times New Roman"/>
        </w:rPr>
        <w:t>licensing</w:t>
      </w:r>
      <w:r w:rsidR="00E359B5" w:rsidRPr="00CB404D">
        <w:rPr>
          <w:rFonts w:cs="Times New Roman"/>
        </w:rPr>
        <w:t xml:space="preserve"> in particular would need to be improved. </w:t>
      </w:r>
    </w:p>
    <w:p w:rsidR="003F6BD3" w:rsidRPr="00CB404D" w:rsidRDefault="003F6BD3" w:rsidP="00CB404D">
      <w:pPr>
        <w:spacing w:after="0" w:line="240" w:lineRule="auto"/>
        <w:rPr>
          <w:rFonts w:cs="Times New Roman"/>
        </w:rPr>
      </w:pPr>
    </w:p>
    <w:p w:rsidR="00CB404D" w:rsidRPr="00CB404D" w:rsidRDefault="00E359B5" w:rsidP="00CB404D">
      <w:pPr>
        <w:spacing w:after="0" w:line="240" w:lineRule="auto"/>
        <w:rPr>
          <w:rFonts w:cs="Times New Roman"/>
        </w:rPr>
      </w:pPr>
      <w:r w:rsidRPr="00CB404D">
        <w:rPr>
          <w:rFonts w:cs="Times New Roman"/>
        </w:rPr>
        <w:t>Overall, bilateral and regional cooperation on green tech</w:t>
      </w:r>
      <w:r w:rsidR="003F6BD3" w:rsidRPr="00CB404D">
        <w:rPr>
          <w:rFonts w:cs="Times New Roman"/>
        </w:rPr>
        <w:t>nology is growing in importance. The focus is</w:t>
      </w:r>
      <w:r w:rsidRPr="00CB404D">
        <w:rPr>
          <w:rFonts w:cs="Times New Roman"/>
        </w:rPr>
        <w:t xml:space="preserve"> not just </w:t>
      </w:r>
      <w:r w:rsidR="003F6BD3" w:rsidRPr="00CB404D">
        <w:rPr>
          <w:rFonts w:cs="Times New Roman"/>
        </w:rPr>
        <w:t xml:space="preserve">on </w:t>
      </w:r>
      <w:r w:rsidR="004242FE">
        <w:rPr>
          <w:rFonts w:cs="Times New Roman"/>
        </w:rPr>
        <w:t>N</w:t>
      </w:r>
      <w:r w:rsidRPr="00CB404D">
        <w:rPr>
          <w:rFonts w:cs="Times New Roman"/>
        </w:rPr>
        <w:t>orth-</w:t>
      </w:r>
      <w:r w:rsidR="004242FE">
        <w:rPr>
          <w:rFonts w:cs="Times New Roman"/>
        </w:rPr>
        <w:t>S</w:t>
      </w:r>
      <w:r w:rsidRPr="00CB404D">
        <w:rPr>
          <w:rFonts w:cs="Times New Roman"/>
        </w:rPr>
        <w:t xml:space="preserve">outh partnerships, </w:t>
      </w:r>
      <w:proofErr w:type="gramStart"/>
      <w:r w:rsidRPr="00CB404D">
        <w:rPr>
          <w:rFonts w:cs="Times New Roman"/>
        </w:rPr>
        <w:t>but</w:t>
      </w:r>
      <w:proofErr w:type="gramEnd"/>
      <w:r w:rsidRPr="00CB404D">
        <w:rPr>
          <w:rFonts w:cs="Times New Roman"/>
        </w:rPr>
        <w:t xml:space="preserve"> </w:t>
      </w:r>
      <w:r w:rsidR="003F6BD3" w:rsidRPr="00CB404D">
        <w:rPr>
          <w:rFonts w:cs="Times New Roman"/>
        </w:rPr>
        <w:t xml:space="preserve">on </w:t>
      </w:r>
      <w:r w:rsidR="004242FE">
        <w:rPr>
          <w:rFonts w:cs="Times New Roman"/>
        </w:rPr>
        <w:t>S</w:t>
      </w:r>
      <w:r w:rsidRPr="00CB404D">
        <w:rPr>
          <w:rFonts w:cs="Times New Roman"/>
        </w:rPr>
        <w:t>outh-</w:t>
      </w:r>
      <w:r w:rsidR="004242FE">
        <w:rPr>
          <w:rFonts w:cs="Times New Roman"/>
        </w:rPr>
        <w:t>S</w:t>
      </w:r>
      <w:r w:rsidRPr="00CB404D">
        <w:rPr>
          <w:rFonts w:cs="Times New Roman"/>
        </w:rPr>
        <w:t xml:space="preserve">outh partnerships. Rio+20 could provide an opportunity to capture some of the positive experiences </w:t>
      </w:r>
      <w:r w:rsidR="003F6BD3" w:rsidRPr="00CB404D">
        <w:rPr>
          <w:rFonts w:cs="Times New Roman"/>
        </w:rPr>
        <w:t>from the last</w:t>
      </w:r>
      <w:r w:rsidRPr="00CB404D">
        <w:rPr>
          <w:rFonts w:cs="Times New Roman"/>
        </w:rPr>
        <w:t xml:space="preserve"> 20 years of learning.</w:t>
      </w:r>
    </w:p>
    <w:p w:rsidR="006D231A" w:rsidRPr="00CB404D" w:rsidRDefault="006D231A" w:rsidP="00CB404D">
      <w:pPr>
        <w:spacing w:after="0" w:line="240" w:lineRule="auto"/>
        <w:rPr>
          <w:rFonts w:cs="Times New Roman"/>
        </w:rPr>
      </w:pPr>
    </w:p>
    <w:p w:rsidR="00CB404D" w:rsidRPr="00CB404D" w:rsidRDefault="00B529E4" w:rsidP="00CB404D">
      <w:pPr>
        <w:spacing w:after="0" w:line="240" w:lineRule="auto"/>
        <w:rPr>
          <w:rFonts w:cs="Times New Roman"/>
          <w:b/>
        </w:rPr>
      </w:pPr>
      <w:r>
        <w:rPr>
          <w:rFonts w:cs="Times New Roman"/>
          <w:b/>
        </w:rPr>
        <w:t>2. Questions and comments by the audience</w:t>
      </w:r>
    </w:p>
    <w:p w:rsidR="00DF5E47" w:rsidRPr="00CB404D" w:rsidRDefault="00DF5E47" w:rsidP="00CB404D">
      <w:pPr>
        <w:spacing w:after="0" w:line="240" w:lineRule="auto"/>
        <w:rPr>
          <w:rFonts w:cs="Times New Roman"/>
          <w:b/>
        </w:rPr>
      </w:pPr>
    </w:p>
    <w:p w:rsidR="00CB404D" w:rsidRPr="00CB404D" w:rsidRDefault="00E359B5" w:rsidP="00CB404D">
      <w:pPr>
        <w:spacing w:after="0" w:line="240" w:lineRule="auto"/>
        <w:rPr>
          <w:rFonts w:cs="Times New Roman"/>
        </w:rPr>
      </w:pPr>
      <w:r w:rsidRPr="00CB404D">
        <w:rPr>
          <w:rFonts w:cs="Times New Roman"/>
        </w:rPr>
        <w:t xml:space="preserve">During the discussion, </w:t>
      </w:r>
      <w:r w:rsidR="008842C8" w:rsidRPr="00CB404D">
        <w:rPr>
          <w:rFonts w:cs="Times New Roman"/>
        </w:rPr>
        <w:t>participants touched on the huge efforts needed to make the transition to a green economy, and the need for political will</w:t>
      </w:r>
      <w:r w:rsidR="00AE5E3D" w:rsidRPr="00CB404D">
        <w:rPr>
          <w:rFonts w:cs="Times New Roman"/>
        </w:rPr>
        <w:t xml:space="preserve"> and inclusiveness</w:t>
      </w:r>
      <w:r w:rsidR="0047107D">
        <w:rPr>
          <w:rFonts w:cs="Times New Roman"/>
        </w:rPr>
        <w:t xml:space="preserve"> to mainstream </w:t>
      </w:r>
      <w:r w:rsidR="00AE5E3D" w:rsidRPr="00CB404D">
        <w:rPr>
          <w:rFonts w:cs="Times New Roman"/>
        </w:rPr>
        <w:t>all stakeholders into the political debate</w:t>
      </w:r>
      <w:r w:rsidR="008842C8" w:rsidRPr="00CB404D">
        <w:rPr>
          <w:rFonts w:cs="Times New Roman"/>
        </w:rPr>
        <w:t xml:space="preserve">. </w:t>
      </w:r>
      <w:r w:rsidR="00AE5E3D" w:rsidRPr="00CB404D">
        <w:rPr>
          <w:rFonts w:cs="Times New Roman"/>
        </w:rPr>
        <w:t xml:space="preserve">In the same vein, inclusiveness and balance </w:t>
      </w:r>
      <w:r w:rsidR="00C36E6A">
        <w:rPr>
          <w:rFonts w:cs="Times New Roman"/>
        </w:rPr>
        <w:t>are</w:t>
      </w:r>
      <w:r w:rsidR="00AE5E3D" w:rsidRPr="00CB404D">
        <w:rPr>
          <w:rFonts w:cs="Times New Roman"/>
        </w:rPr>
        <w:t xml:space="preserve"> needed to quell the very real fear of green protectionism. Concrete and genuine experiences could also show the way forward. </w:t>
      </w:r>
      <w:r w:rsidR="008842C8" w:rsidRPr="00CB404D">
        <w:rPr>
          <w:rFonts w:cs="Times New Roman"/>
        </w:rPr>
        <w:t xml:space="preserve">Some felt that the green economy concept does not go far enough, as our resource consumption </w:t>
      </w:r>
      <w:r w:rsidR="00AE5E3D" w:rsidRPr="00CB404D">
        <w:rPr>
          <w:rFonts w:cs="Times New Roman"/>
        </w:rPr>
        <w:t xml:space="preserve">and population growth need to </w:t>
      </w:r>
      <w:r w:rsidR="008842C8" w:rsidRPr="00CB404D">
        <w:rPr>
          <w:rFonts w:cs="Times New Roman"/>
        </w:rPr>
        <w:t xml:space="preserve">radically </w:t>
      </w:r>
      <w:r w:rsidR="00AE5E3D" w:rsidRPr="00CB404D">
        <w:rPr>
          <w:rFonts w:cs="Times New Roman"/>
        </w:rPr>
        <w:t>diminish</w:t>
      </w:r>
      <w:r w:rsidR="008842C8" w:rsidRPr="00CB404D">
        <w:rPr>
          <w:rFonts w:cs="Times New Roman"/>
        </w:rPr>
        <w:t xml:space="preserve"> in real terms. </w:t>
      </w:r>
    </w:p>
    <w:p w:rsidR="00AE5E3D" w:rsidRPr="00CB404D" w:rsidRDefault="00AE5E3D" w:rsidP="00CB404D">
      <w:pPr>
        <w:spacing w:after="0" w:line="240" w:lineRule="auto"/>
        <w:rPr>
          <w:rFonts w:cs="Times New Roman"/>
        </w:rPr>
      </w:pPr>
    </w:p>
    <w:p w:rsidR="00CB404D" w:rsidRPr="00CB404D" w:rsidRDefault="008842C8" w:rsidP="00CB404D">
      <w:pPr>
        <w:spacing w:after="0" w:line="240" w:lineRule="auto"/>
        <w:rPr>
          <w:rFonts w:cs="Times New Roman"/>
        </w:rPr>
      </w:pPr>
      <w:r w:rsidRPr="00CB404D">
        <w:rPr>
          <w:rFonts w:cs="Times New Roman"/>
        </w:rPr>
        <w:t>In terms of the necessary investments, the private sector is not going ahead despite huge opportunities, due to risks inherent in current investment frameworks, which have a chilling effect. As such, we should be open to revising trade and investment agreements in order to make them supportive of the transition to a green economy</w:t>
      </w:r>
      <w:r w:rsidR="003F6BD3" w:rsidRPr="00CB404D">
        <w:rPr>
          <w:rFonts w:cs="Times New Roman"/>
        </w:rPr>
        <w:t>, opined some participants</w:t>
      </w:r>
      <w:r w:rsidRPr="00CB404D">
        <w:rPr>
          <w:rFonts w:cs="Times New Roman"/>
        </w:rPr>
        <w:t xml:space="preserve">. </w:t>
      </w:r>
    </w:p>
    <w:p w:rsidR="00E359B5" w:rsidRPr="00CB404D" w:rsidRDefault="00E359B5" w:rsidP="00CB404D">
      <w:pPr>
        <w:spacing w:after="0" w:line="240" w:lineRule="auto"/>
        <w:rPr>
          <w:rFonts w:cs="Times New Roman"/>
        </w:rPr>
      </w:pPr>
    </w:p>
    <w:p w:rsidR="00CB404D" w:rsidRPr="00CB404D" w:rsidRDefault="00AE5E3D" w:rsidP="00CB404D">
      <w:pPr>
        <w:spacing w:after="0" w:line="240" w:lineRule="auto"/>
        <w:rPr>
          <w:rFonts w:cs="Times New Roman"/>
        </w:rPr>
      </w:pPr>
      <w:r w:rsidRPr="00CB404D">
        <w:rPr>
          <w:rFonts w:cs="Times New Roman"/>
        </w:rPr>
        <w:t xml:space="preserve">One </w:t>
      </w:r>
      <w:r w:rsidR="003F6BD3" w:rsidRPr="00CB404D">
        <w:rPr>
          <w:rFonts w:cs="Times New Roman"/>
        </w:rPr>
        <w:t>speaker from the floor</w:t>
      </w:r>
      <w:r w:rsidRPr="00CB404D">
        <w:rPr>
          <w:rFonts w:cs="Times New Roman"/>
        </w:rPr>
        <w:t xml:space="preserve"> stressed the need to </w:t>
      </w:r>
      <w:r w:rsidR="003F6BD3" w:rsidRPr="00CB404D">
        <w:rPr>
          <w:rFonts w:cs="Times New Roman"/>
        </w:rPr>
        <w:t>exploit synergies among</w:t>
      </w:r>
      <w:r w:rsidRPr="00CB404D">
        <w:rPr>
          <w:rFonts w:cs="Times New Roman"/>
        </w:rPr>
        <w:t xml:space="preserve"> trade </w:t>
      </w:r>
      <w:r w:rsidR="003F6BD3" w:rsidRPr="00CB404D">
        <w:rPr>
          <w:rFonts w:cs="Times New Roman"/>
        </w:rPr>
        <w:t>and</w:t>
      </w:r>
      <w:r w:rsidRPr="00CB404D">
        <w:rPr>
          <w:rFonts w:cs="Times New Roman"/>
        </w:rPr>
        <w:t xml:space="preserve"> green agricultural practices, as this is necessary to feed a growing global population. Others talked about green technology, noting that </w:t>
      </w:r>
      <w:proofErr w:type="gramStart"/>
      <w:r w:rsidRPr="00CB404D">
        <w:rPr>
          <w:rFonts w:cs="Times New Roman"/>
        </w:rPr>
        <w:t>the technology is owned by companies</w:t>
      </w:r>
      <w:proofErr w:type="gramEnd"/>
      <w:r w:rsidRPr="00CB404D">
        <w:rPr>
          <w:rFonts w:cs="Times New Roman"/>
        </w:rPr>
        <w:t>, not countries.</w:t>
      </w:r>
      <w:r w:rsidR="00796C4F" w:rsidRPr="00CB404D">
        <w:rPr>
          <w:rFonts w:cs="Times New Roman"/>
        </w:rPr>
        <w:t xml:space="preserve"> Looking towards Rio, the meeting could provide an important signal on </w:t>
      </w:r>
      <w:proofErr w:type="spellStart"/>
      <w:r w:rsidR="00796C4F" w:rsidRPr="00CB404D">
        <w:rPr>
          <w:rFonts w:cs="Times New Roman"/>
        </w:rPr>
        <w:t>operationali</w:t>
      </w:r>
      <w:r w:rsidR="00CB404D" w:rsidRPr="00CB404D">
        <w:rPr>
          <w:rFonts w:cs="Times New Roman"/>
        </w:rPr>
        <w:t>z</w:t>
      </w:r>
      <w:r w:rsidR="00796C4F" w:rsidRPr="00CB404D">
        <w:rPr>
          <w:rFonts w:cs="Times New Roman"/>
        </w:rPr>
        <w:t>ing</w:t>
      </w:r>
      <w:proofErr w:type="spellEnd"/>
      <w:r w:rsidR="00796C4F" w:rsidRPr="00CB404D">
        <w:rPr>
          <w:rFonts w:cs="Times New Roman"/>
        </w:rPr>
        <w:t xml:space="preserve"> technology transfer, while recognising that one size does not fit all across sectors and countries. </w:t>
      </w:r>
    </w:p>
    <w:p w:rsidR="00DF5E47" w:rsidRPr="00CB404D" w:rsidRDefault="00DF5E47" w:rsidP="00CB404D">
      <w:pPr>
        <w:spacing w:after="0" w:line="240" w:lineRule="auto"/>
        <w:rPr>
          <w:rFonts w:cs="Times New Roman"/>
        </w:rPr>
      </w:pPr>
    </w:p>
    <w:p w:rsidR="00CB404D" w:rsidRPr="00CB404D" w:rsidRDefault="00AE5E3D" w:rsidP="00CB404D">
      <w:pPr>
        <w:spacing w:after="0" w:line="240" w:lineRule="auto"/>
        <w:rPr>
          <w:rFonts w:cs="Times New Roman"/>
        </w:rPr>
      </w:pPr>
      <w:r w:rsidRPr="00CB404D">
        <w:rPr>
          <w:rFonts w:cs="Times New Roman"/>
        </w:rPr>
        <w:t>During the closing</w:t>
      </w:r>
      <w:r w:rsidR="003F6BD3" w:rsidRPr="00CB404D">
        <w:rPr>
          <w:rFonts w:cs="Times New Roman"/>
        </w:rPr>
        <w:t xml:space="preserve"> of the meeting</w:t>
      </w:r>
      <w:r w:rsidRPr="00CB404D">
        <w:rPr>
          <w:rFonts w:cs="Times New Roman"/>
        </w:rPr>
        <w:t xml:space="preserve">, the WTO ministerial coming up in December was also mentioned, and the </w:t>
      </w:r>
      <w:r w:rsidR="002422E0" w:rsidRPr="00CB404D">
        <w:rPr>
          <w:rFonts w:cs="Times New Roman"/>
        </w:rPr>
        <w:t xml:space="preserve">need to ensure it does not </w:t>
      </w:r>
      <w:r w:rsidRPr="00CB404D">
        <w:rPr>
          <w:rFonts w:cs="Times New Roman"/>
        </w:rPr>
        <w:t xml:space="preserve">become a lost opportunity for the environment on the road to Rio. </w:t>
      </w:r>
    </w:p>
    <w:sectPr w:rsidR="00CB404D" w:rsidRPr="00CB404D" w:rsidSect="00ED3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283"/>
  <w:characterSpacingControl w:val="doNotCompress"/>
  <w:compat/>
  <w:rsids>
    <w:rsidRoot w:val="00F35A62"/>
    <w:rsid w:val="000A1127"/>
    <w:rsid w:val="000E1FDB"/>
    <w:rsid w:val="000E427B"/>
    <w:rsid w:val="00111C0A"/>
    <w:rsid w:val="00117E93"/>
    <w:rsid w:val="00134128"/>
    <w:rsid w:val="00151FFA"/>
    <w:rsid w:val="0015635B"/>
    <w:rsid w:val="001756E1"/>
    <w:rsid w:val="00176555"/>
    <w:rsid w:val="001A4A2A"/>
    <w:rsid w:val="001B6F91"/>
    <w:rsid w:val="001D638A"/>
    <w:rsid w:val="00226112"/>
    <w:rsid w:val="00227C03"/>
    <w:rsid w:val="002318E1"/>
    <w:rsid w:val="00237846"/>
    <w:rsid w:val="002422E0"/>
    <w:rsid w:val="002524DD"/>
    <w:rsid w:val="002722EA"/>
    <w:rsid w:val="00291BA5"/>
    <w:rsid w:val="002A6AF4"/>
    <w:rsid w:val="002E2C73"/>
    <w:rsid w:val="002F6A1F"/>
    <w:rsid w:val="003056BC"/>
    <w:rsid w:val="003065BC"/>
    <w:rsid w:val="00343B09"/>
    <w:rsid w:val="003D5C3D"/>
    <w:rsid w:val="003F6BD3"/>
    <w:rsid w:val="00405CAF"/>
    <w:rsid w:val="004242FE"/>
    <w:rsid w:val="004358F7"/>
    <w:rsid w:val="00441B1E"/>
    <w:rsid w:val="0047107D"/>
    <w:rsid w:val="00472CA7"/>
    <w:rsid w:val="00474E90"/>
    <w:rsid w:val="004A3BFB"/>
    <w:rsid w:val="004D0E3B"/>
    <w:rsid w:val="004D0E82"/>
    <w:rsid w:val="004E0B37"/>
    <w:rsid w:val="004F5231"/>
    <w:rsid w:val="00500220"/>
    <w:rsid w:val="005607C5"/>
    <w:rsid w:val="005809E3"/>
    <w:rsid w:val="005822AF"/>
    <w:rsid w:val="006530ED"/>
    <w:rsid w:val="00654DDC"/>
    <w:rsid w:val="0068646D"/>
    <w:rsid w:val="006D231A"/>
    <w:rsid w:val="00704600"/>
    <w:rsid w:val="00724664"/>
    <w:rsid w:val="007507E1"/>
    <w:rsid w:val="00763845"/>
    <w:rsid w:val="00796C4F"/>
    <w:rsid w:val="007B44A2"/>
    <w:rsid w:val="007B74DC"/>
    <w:rsid w:val="007D0B6B"/>
    <w:rsid w:val="00805391"/>
    <w:rsid w:val="00814945"/>
    <w:rsid w:val="0082617B"/>
    <w:rsid w:val="00837FAF"/>
    <w:rsid w:val="00840442"/>
    <w:rsid w:val="008800C4"/>
    <w:rsid w:val="00882283"/>
    <w:rsid w:val="008842C8"/>
    <w:rsid w:val="008F52A3"/>
    <w:rsid w:val="00901C80"/>
    <w:rsid w:val="009067A7"/>
    <w:rsid w:val="00906CE2"/>
    <w:rsid w:val="009179DC"/>
    <w:rsid w:val="009267BB"/>
    <w:rsid w:val="009352B1"/>
    <w:rsid w:val="0095430E"/>
    <w:rsid w:val="00975069"/>
    <w:rsid w:val="009A21A5"/>
    <w:rsid w:val="009D4F92"/>
    <w:rsid w:val="009F4496"/>
    <w:rsid w:val="00A13364"/>
    <w:rsid w:val="00A22991"/>
    <w:rsid w:val="00A654F1"/>
    <w:rsid w:val="00A935B7"/>
    <w:rsid w:val="00AA0CB9"/>
    <w:rsid w:val="00AA130B"/>
    <w:rsid w:val="00AA58B0"/>
    <w:rsid w:val="00AA7163"/>
    <w:rsid w:val="00AC2024"/>
    <w:rsid w:val="00AE5E3D"/>
    <w:rsid w:val="00B306BC"/>
    <w:rsid w:val="00B3096F"/>
    <w:rsid w:val="00B529E4"/>
    <w:rsid w:val="00B6692F"/>
    <w:rsid w:val="00B74D04"/>
    <w:rsid w:val="00B82D41"/>
    <w:rsid w:val="00BC24F3"/>
    <w:rsid w:val="00BC34E6"/>
    <w:rsid w:val="00BD6EB7"/>
    <w:rsid w:val="00BE5B94"/>
    <w:rsid w:val="00C072A5"/>
    <w:rsid w:val="00C118D1"/>
    <w:rsid w:val="00C15483"/>
    <w:rsid w:val="00C36E6A"/>
    <w:rsid w:val="00C66909"/>
    <w:rsid w:val="00CB404D"/>
    <w:rsid w:val="00CE2E33"/>
    <w:rsid w:val="00CE4B90"/>
    <w:rsid w:val="00CF1675"/>
    <w:rsid w:val="00D13CAC"/>
    <w:rsid w:val="00D426A3"/>
    <w:rsid w:val="00D7430A"/>
    <w:rsid w:val="00D96C26"/>
    <w:rsid w:val="00DA1EAC"/>
    <w:rsid w:val="00DC21D9"/>
    <w:rsid w:val="00DC5AF3"/>
    <w:rsid w:val="00DD0454"/>
    <w:rsid w:val="00DD2622"/>
    <w:rsid w:val="00DF5E47"/>
    <w:rsid w:val="00DF6B3A"/>
    <w:rsid w:val="00E01276"/>
    <w:rsid w:val="00E11A5F"/>
    <w:rsid w:val="00E14F3A"/>
    <w:rsid w:val="00E359B5"/>
    <w:rsid w:val="00E56BBB"/>
    <w:rsid w:val="00E86585"/>
    <w:rsid w:val="00EA4ACF"/>
    <w:rsid w:val="00EB0BE1"/>
    <w:rsid w:val="00EC1A89"/>
    <w:rsid w:val="00EC1EB0"/>
    <w:rsid w:val="00EC64C4"/>
    <w:rsid w:val="00ED368D"/>
    <w:rsid w:val="00EF539B"/>
    <w:rsid w:val="00F11438"/>
    <w:rsid w:val="00F30A83"/>
    <w:rsid w:val="00F33426"/>
    <w:rsid w:val="00F35A62"/>
    <w:rsid w:val="00F50172"/>
    <w:rsid w:val="00F53290"/>
    <w:rsid w:val="00F53F74"/>
    <w:rsid w:val="00F54CB7"/>
    <w:rsid w:val="00FD5ADE"/>
    <w:rsid w:val="00FE21C3"/>
    <w:rsid w:val="00FF45EE"/>
  </w:rsids>
  <m:mathPr>
    <m:mathFont m:val="@ヒラギノ角ゴ Pro W3"/>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D36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smalltext">
    <w:name w:val="parasmalltext"/>
    <w:basedOn w:val="Normal"/>
    <w:rsid w:val="000E427B"/>
    <w:pPr>
      <w:spacing w:beforeLines="1" w:afterLines="1" w:line="240" w:lineRule="auto"/>
    </w:pPr>
    <w:rPr>
      <w:rFonts w:ascii="Times" w:hAnsi="Times"/>
      <w:sz w:val="20"/>
      <w:szCs w:val="20"/>
      <w:lang w:val="en-US"/>
    </w:rPr>
  </w:style>
  <w:style w:type="paragraph" w:customStyle="1" w:styleId="Headingb">
    <w:name w:val="Heading_b"/>
    <w:basedOn w:val="Normal"/>
    <w:next w:val="Normal"/>
    <w:rsid w:val="000E427B"/>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68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10699</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Sell</dc:creator>
  <cp:lastModifiedBy>Helen Swain</cp:lastModifiedBy>
  <cp:revision>2</cp:revision>
  <dcterms:created xsi:type="dcterms:W3CDTF">2011-12-07T10:37:00Z</dcterms:created>
  <dcterms:modified xsi:type="dcterms:W3CDTF">2011-12-07T10:37:00Z</dcterms:modified>
</cp:coreProperties>
</file>